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eastAsia="黑体" w:cs="Arial"/>
          <w:b/>
          <w:spacing w:val="20"/>
          <w:sz w:val="32"/>
          <w:szCs w:val="32"/>
        </w:rPr>
      </w:pPr>
    </w:p>
    <w:p>
      <w:pPr>
        <w:spacing w:line="1000" w:lineRule="auto"/>
        <w:jc w:val="center"/>
        <w:rPr>
          <w:rFonts w:ascii="宋体" w:hAnsi="宋体" w:eastAsia="宋体" w:cs="宋体"/>
          <w:b/>
          <w:sz w:val="52"/>
        </w:rPr>
      </w:pPr>
      <w:r>
        <w:rPr>
          <w:rFonts w:ascii="宋体" w:hAnsi="宋体" w:eastAsia="宋体" w:cs="宋体"/>
          <w:b/>
          <w:sz w:val="52"/>
        </w:rPr>
        <w:t>东莞城市学院</w:t>
      </w:r>
    </w:p>
    <w:p>
      <w:pPr>
        <w:spacing w:line="1000" w:lineRule="auto"/>
        <w:jc w:val="center"/>
        <w:rPr>
          <w:rFonts w:ascii="宋体" w:hAnsi="宋体" w:eastAsia="宋体" w:cs="宋体"/>
          <w:sz w:val="30"/>
        </w:rPr>
      </w:pPr>
    </w:p>
    <w:p>
      <w:pPr>
        <w:spacing w:line="1000" w:lineRule="auto"/>
        <w:jc w:val="center"/>
        <w:rPr>
          <w:rFonts w:ascii="宋体" w:hAnsi="宋体" w:eastAsia="宋体" w:cs="宋体"/>
          <w:b/>
          <w:sz w:val="80"/>
        </w:rPr>
      </w:pPr>
      <w:r>
        <w:rPr>
          <w:rFonts w:ascii="宋体" w:hAnsi="宋体" w:eastAsia="宋体" w:cs="宋体"/>
          <w:b/>
          <w:sz w:val="80"/>
        </w:rPr>
        <w:t>招</w:t>
      </w:r>
    </w:p>
    <w:p>
      <w:pPr>
        <w:spacing w:line="1000" w:lineRule="auto"/>
        <w:jc w:val="center"/>
        <w:rPr>
          <w:rFonts w:ascii="宋体" w:hAnsi="宋体" w:eastAsia="宋体" w:cs="宋体"/>
          <w:b/>
          <w:sz w:val="80"/>
        </w:rPr>
      </w:pPr>
      <w:r>
        <w:rPr>
          <w:rFonts w:ascii="宋体" w:hAnsi="宋体" w:eastAsia="宋体" w:cs="宋体"/>
          <w:b/>
          <w:sz w:val="80"/>
        </w:rPr>
        <w:t>标</w:t>
      </w:r>
    </w:p>
    <w:p>
      <w:pPr>
        <w:spacing w:line="1000" w:lineRule="auto"/>
        <w:jc w:val="center"/>
        <w:rPr>
          <w:rFonts w:ascii="宋体" w:hAnsi="宋体" w:eastAsia="宋体" w:cs="宋体"/>
          <w:b/>
          <w:sz w:val="80"/>
        </w:rPr>
      </w:pPr>
      <w:r>
        <w:rPr>
          <w:rFonts w:ascii="宋体" w:hAnsi="宋体" w:eastAsia="宋体" w:cs="宋体"/>
          <w:b/>
          <w:sz w:val="80"/>
        </w:rPr>
        <w:t>文</w:t>
      </w:r>
    </w:p>
    <w:p>
      <w:pPr>
        <w:spacing w:line="1000" w:lineRule="auto"/>
        <w:jc w:val="center"/>
        <w:rPr>
          <w:rFonts w:ascii="宋体" w:hAnsi="宋体" w:eastAsia="宋体" w:cs="宋体"/>
          <w:b/>
          <w:sz w:val="80"/>
        </w:rPr>
      </w:pPr>
      <w:r>
        <w:rPr>
          <w:rFonts w:ascii="宋体" w:hAnsi="宋体" w:eastAsia="宋体" w:cs="宋体"/>
          <w:b/>
          <w:sz w:val="80"/>
        </w:rPr>
        <w:t>件</w:t>
      </w:r>
    </w:p>
    <w:p>
      <w:pPr>
        <w:spacing w:line="600" w:lineRule="auto"/>
        <w:jc w:val="center"/>
        <w:rPr>
          <w:rFonts w:ascii="宋体" w:hAnsi="宋体" w:eastAsia="宋体" w:cs="宋体"/>
          <w:b/>
          <w:sz w:val="28"/>
        </w:rPr>
      </w:pPr>
    </w:p>
    <w:p>
      <w:pPr>
        <w:spacing w:line="600" w:lineRule="auto"/>
        <w:jc w:val="center"/>
        <w:rPr>
          <w:rFonts w:ascii="宋体" w:hAnsi="宋体" w:eastAsia="宋体" w:cs="宋体"/>
          <w:b/>
          <w:sz w:val="31"/>
        </w:rPr>
      </w:pPr>
      <w:r>
        <w:rPr>
          <w:rFonts w:ascii="宋体" w:hAnsi="宋体" w:eastAsia="宋体" w:cs="宋体"/>
          <w:b/>
          <w:sz w:val="31"/>
        </w:rPr>
        <w:t>项目编号：DGCC-CG-202</w:t>
      </w:r>
      <w:r>
        <w:rPr>
          <w:rFonts w:hint="eastAsia" w:ascii="宋体" w:hAnsi="宋体" w:cs="宋体"/>
          <w:b/>
          <w:sz w:val="31"/>
          <w:lang w:val="en-US" w:eastAsia="zh-CN"/>
        </w:rPr>
        <w:t>40409</w:t>
      </w:r>
      <w:r>
        <w:rPr>
          <w:rFonts w:hint="eastAsia" w:ascii="宋体" w:hAnsi="宋体" w:eastAsia="宋体" w:cs="宋体"/>
          <w:b/>
          <w:sz w:val="31"/>
        </w:rPr>
        <w:t>-01</w:t>
      </w:r>
    </w:p>
    <w:p>
      <w:pPr>
        <w:spacing w:line="600" w:lineRule="auto"/>
        <w:jc w:val="center"/>
        <w:rPr>
          <w:rFonts w:ascii="宋体" w:hAnsi="宋体" w:eastAsia="宋体" w:cs="宋体"/>
          <w:b/>
          <w:sz w:val="31"/>
        </w:rPr>
      </w:pPr>
      <w:r>
        <w:rPr>
          <w:rFonts w:ascii="宋体" w:hAnsi="宋体" w:eastAsia="宋体" w:cs="宋体"/>
          <w:b/>
          <w:sz w:val="31"/>
        </w:rPr>
        <w:t>项目名称：</w:t>
      </w:r>
      <w:r>
        <w:rPr>
          <w:rFonts w:hint="eastAsia" w:ascii="宋体" w:hAnsi="宋体" w:eastAsia="宋体" w:cs="宋体"/>
          <w:b/>
          <w:sz w:val="31"/>
        </w:rPr>
        <w:t>消防设施维护保养工程</w:t>
      </w:r>
    </w:p>
    <w:p>
      <w:pPr>
        <w:spacing w:line="600" w:lineRule="auto"/>
        <w:rPr>
          <w:rFonts w:ascii="宋体" w:hAnsi="宋体" w:eastAsia="宋体" w:cs="宋体"/>
          <w:b/>
          <w:sz w:val="28"/>
        </w:rPr>
      </w:pPr>
    </w:p>
    <w:p>
      <w:pPr>
        <w:spacing w:line="600" w:lineRule="auto"/>
        <w:ind w:firstLine="311"/>
        <w:jc w:val="center"/>
        <w:rPr>
          <w:rFonts w:ascii="宋体" w:hAnsi="宋体" w:eastAsia="宋体" w:cs="宋体"/>
          <w:b/>
          <w:sz w:val="31"/>
        </w:rPr>
      </w:pPr>
      <w:r>
        <w:rPr>
          <w:rFonts w:ascii="宋体" w:hAnsi="宋体" w:eastAsia="宋体" w:cs="宋体"/>
          <w:b/>
          <w:sz w:val="31"/>
        </w:rPr>
        <w:t>东莞城市学院</w:t>
      </w:r>
    </w:p>
    <w:p>
      <w:pPr>
        <w:spacing w:line="600" w:lineRule="auto"/>
        <w:jc w:val="center"/>
        <w:rPr>
          <w:rFonts w:ascii="宋体" w:hAnsi="宋体" w:eastAsia="宋体" w:cs="宋体"/>
          <w:b/>
          <w:sz w:val="31"/>
        </w:rPr>
      </w:pPr>
      <w:r>
        <w:rPr>
          <w:rFonts w:ascii="宋体" w:hAnsi="宋体" w:eastAsia="宋体" w:cs="宋体"/>
          <w:b/>
          <w:sz w:val="31"/>
        </w:rPr>
        <w:t>二Ｏ二</w:t>
      </w:r>
      <w:r>
        <w:rPr>
          <w:rFonts w:hint="eastAsia" w:ascii="宋体" w:hAnsi="宋体" w:cs="宋体"/>
          <w:b/>
          <w:sz w:val="31"/>
          <w:lang w:val="en-US" w:eastAsia="zh-CN"/>
        </w:rPr>
        <w:t>肆</w:t>
      </w:r>
      <w:r>
        <w:rPr>
          <w:rFonts w:ascii="宋体" w:hAnsi="宋体" w:eastAsia="宋体" w:cs="宋体"/>
          <w:b/>
          <w:sz w:val="31"/>
        </w:rPr>
        <w:t>年</w:t>
      </w:r>
      <w:r>
        <w:rPr>
          <w:rFonts w:hint="eastAsia" w:ascii="宋体" w:hAnsi="宋体" w:cs="宋体"/>
          <w:b/>
          <w:sz w:val="31"/>
          <w:lang w:val="en-US" w:eastAsia="zh-CN"/>
        </w:rPr>
        <w:t>肆</w:t>
      </w:r>
      <w:r>
        <w:rPr>
          <w:rFonts w:ascii="宋体" w:hAnsi="宋体" w:eastAsia="宋体" w:cs="宋体"/>
          <w:b/>
          <w:sz w:val="31"/>
        </w:rPr>
        <w:t>月</w:t>
      </w:r>
    </w:p>
    <w:p>
      <w:pPr>
        <w:spacing w:line="360" w:lineRule="auto"/>
        <w:jc w:val="center"/>
        <w:rPr>
          <w:rFonts w:hint="eastAsia" w:ascii="Arial" w:eastAsia="宋体" w:cs="Arial"/>
          <w:lang w:eastAsia="zh-CN"/>
        </w:rPr>
      </w:pPr>
    </w:p>
    <w:p>
      <w:pPr>
        <w:spacing w:line="360" w:lineRule="auto"/>
        <w:jc w:val="center"/>
        <w:rPr>
          <w:rFonts w:hint="eastAsia" w:ascii="Arial" w:eastAsia="宋体" w:cs="Arial"/>
          <w:lang w:eastAsia="zh-CN"/>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pStyle w:val="23"/>
        <w:spacing w:line="540" w:lineRule="exact"/>
        <w:ind w:firstLine="31680"/>
        <w:rPr>
          <w:rFonts w:ascii="Tahoma" w:eastAsia="宋体" w:cs="Tahoma"/>
          <w:kern w:val="0"/>
          <w:sz w:val="24"/>
          <w:szCs w:val="24"/>
        </w:rPr>
      </w:pPr>
      <w:r>
        <w:rPr>
          <w:rFonts w:ascii="Tahoma" w:eastAsia="宋体" w:cs="Tahoma"/>
          <w:kern w:val="0"/>
          <w:sz w:val="24"/>
          <w:szCs w:val="24"/>
        </w:rPr>
        <w:t>1</w:t>
      </w:r>
      <w:r>
        <w:rPr>
          <w:rFonts w:hint="eastAsia" w:ascii="Tahoma" w:eastAsia="宋体" w:cs="Tahoma"/>
          <w:kern w:val="0"/>
          <w:sz w:val="24"/>
          <w:szCs w:val="24"/>
        </w:rPr>
        <w:t>．项目名称：</w:t>
      </w:r>
      <w:r>
        <w:rPr>
          <w:rFonts w:hint="eastAsia" w:ascii="Tahoma" w:eastAsia="宋体" w:cs="Tahoma"/>
          <w:kern w:val="0"/>
          <w:sz w:val="24"/>
          <w:szCs w:val="24"/>
          <w:lang w:eastAsia="zh-CN"/>
        </w:rPr>
        <w:t>东莞城市学院</w:t>
      </w:r>
      <w:r>
        <w:rPr>
          <w:rFonts w:hint="eastAsia" w:ascii="Tahoma" w:eastAsia="宋体" w:cs="Tahoma"/>
          <w:kern w:val="0"/>
          <w:sz w:val="24"/>
          <w:szCs w:val="24"/>
        </w:rPr>
        <w:t>消防设施维护保养工程，招标编号：</w:t>
      </w:r>
      <w:r>
        <w:rPr>
          <w:rFonts w:ascii="宋体" w:hAnsi="宋体" w:eastAsia="宋体" w:cs="宋体"/>
          <w:b/>
          <w:sz w:val="31"/>
        </w:rPr>
        <w:t>DGCC-CG-202</w:t>
      </w:r>
      <w:r>
        <w:rPr>
          <w:rFonts w:hint="eastAsia" w:ascii="宋体" w:hAnsi="宋体" w:cs="宋体"/>
          <w:b/>
          <w:sz w:val="31"/>
          <w:lang w:val="en-US" w:eastAsia="zh-CN"/>
        </w:rPr>
        <w:t>40409</w:t>
      </w:r>
      <w:r>
        <w:rPr>
          <w:rFonts w:hint="eastAsia" w:ascii="宋体" w:hAnsi="宋体" w:eastAsia="宋体" w:cs="宋体"/>
          <w:b/>
          <w:sz w:val="31"/>
        </w:rPr>
        <w:t>-01</w:t>
      </w:r>
      <w:r>
        <w:rPr>
          <w:rFonts w:ascii="Tahoma" w:eastAsia="宋体" w:cs="Tahoma"/>
          <w:color w:val="FF0000"/>
          <w:kern w:val="0"/>
          <w:sz w:val="24"/>
          <w:szCs w:val="24"/>
        </w:rPr>
        <w:t xml:space="preserve">   </w:t>
      </w:r>
    </w:p>
    <w:p>
      <w:pPr>
        <w:pStyle w:val="23"/>
        <w:spacing w:beforeLines="50" w:line="540" w:lineRule="exact"/>
        <w:rPr>
          <w:rFonts w:ascii="Tahoma" w:eastAsia="宋体" w:cs="Tahoma"/>
          <w:kern w:val="0"/>
          <w:sz w:val="24"/>
          <w:szCs w:val="24"/>
        </w:rPr>
      </w:pPr>
      <w:r>
        <w:rPr>
          <w:rFonts w:ascii="Tahoma" w:eastAsia="宋体" w:cs="Tahoma"/>
          <w:kern w:val="0"/>
          <w:sz w:val="24"/>
          <w:szCs w:val="24"/>
        </w:rPr>
        <w:t>2</w:t>
      </w:r>
      <w:r>
        <w:rPr>
          <w:rFonts w:hint="eastAsia" w:ascii="Tahoma" w:eastAsia="宋体" w:cs="Tahoma"/>
          <w:kern w:val="0"/>
          <w:sz w:val="24"/>
          <w:szCs w:val="24"/>
        </w:rPr>
        <w:t>．报名时间：</w:t>
      </w:r>
      <w:r>
        <w:rPr>
          <w:rFonts w:hint="eastAsia" w:ascii="Tahoma" w:eastAsia="宋体" w:cs="Tahoma"/>
          <w:kern w:val="0"/>
          <w:sz w:val="24"/>
          <w:szCs w:val="24"/>
          <w:lang w:val="en-US" w:eastAsia="zh-CN"/>
        </w:rPr>
        <w:t>2024</w:t>
      </w:r>
      <w:r>
        <w:rPr>
          <w:rFonts w:hint="eastAsia" w:ascii="Tahoma" w:eastAsia="宋体" w:cs="Tahoma"/>
          <w:kern w:val="0"/>
          <w:sz w:val="24"/>
          <w:szCs w:val="24"/>
        </w:rPr>
        <w:t>年</w:t>
      </w:r>
      <w:r>
        <w:rPr>
          <w:rFonts w:hint="eastAsia" w:ascii="Tahoma" w:eastAsia="宋体" w:cs="Tahoma"/>
          <w:kern w:val="0"/>
          <w:sz w:val="24"/>
          <w:szCs w:val="24"/>
          <w:lang w:val="en-US" w:eastAsia="zh-CN"/>
        </w:rPr>
        <w:t>4</w:t>
      </w:r>
      <w:r>
        <w:rPr>
          <w:rFonts w:hint="eastAsia" w:ascii="Tahoma" w:eastAsia="宋体" w:cs="Tahoma"/>
          <w:kern w:val="0"/>
          <w:sz w:val="24"/>
          <w:szCs w:val="24"/>
        </w:rPr>
        <w:t>月</w:t>
      </w:r>
      <w:r>
        <w:rPr>
          <w:rFonts w:hint="eastAsia" w:ascii="Tahoma" w:eastAsia="宋体" w:cs="Tahoma"/>
          <w:kern w:val="0"/>
          <w:sz w:val="24"/>
          <w:szCs w:val="24"/>
          <w:lang w:val="en-US" w:eastAsia="zh-CN"/>
        </w:rPr>
        <w:t>18</w:t>
      </w:r>
      <w:r>
        <w:rPr>
          <w:rFonts w:hint="eastAsia" w:ascii="Tahoma" w:eastAsia="宋体" w:cs="Tahoma"/>
          <w:kern w:val="0"/>
          <w:sz w:val="24"/>
          <w:szCs w:val="24"/>
        </w:rPr>
        <w:t>日至</w:t>
      </w:r>
      <w:r>
        <w:rPr>
          <w:rFonts w:hint="eastAsia" w:ascii="Tahoma" w:eastAsia="宋体" w:cs="Tahoma"/>
          <w:kern w:val="0"/>
          <w:sz w:val="24"/>
          <w:szCs w:val="24"/>
          <w:lang w:val="en-US" w:eastAsia="zh-CN"/>
        </w:rPr>
        <w:t>2024</w:t>
      </w:r>
      <w:r>
        <w:rPr>
          <w:rFonts w:hint="eastAsia" w:ascii="Tahoma" w:eastAsia="宋体" w:cs="Tahoma"/>
          <w:kern w:val="0"/>
          <w:sz w:val="24"/>
          <w:szCs w:val="24"/>
        </w:rPr>
        <w:t>年</w:t>
      </w:r>
      <w:r>
        <w:rPr>
          <w:rFonts w:hint="eastAsia" w:ascii="Tahoma" w:eastAsia="宋体" w:cs="Tahoma"/>
          <w:kern w:val="0"/>
          <w:sz w:val="24"/>
          <w:szCs w:val="24"/>
          <w:lang w:val="en-US" w:eastAsia="zh-CN"/>
        </w:rPr>
        <w:t>5</w:t>
      </w:r>
      <w:r>
        <w:rPr>
          <w:rFonts w:hint="eastAsia" w:ascii="Tahoma" w:eastAsia="宋体" w:cs="Tahoma"/>
          <w:kern w:val="0"/>
          <w:sz w:val="24"/>
          <w:szCs w:val="24"/>
        </w:rPr>
        <w:t>月</w:t>
      </w:r>
      <w:r>
        <w:rPr>
          <w:rFonts w:hint="eastAsia" w:ascii="Tahoma" w:eastAsia="宋体" w:cs="Tahoma"/>
          <w:kern w:val="0"/>
          <w:sz w:val="24"/>
          <w:szCs w:val="24"/>
          <w:lang w:val="en-US" w:eastAsia="zh-CN"/>
        </w:rPr>
        <w:t>10</w:t>
      </w:r>
      <w:r>
        <w:rPr>
          <w:rFonts w:hint="eastAsia" w:ascii="Tahoma" w:eastAsia="宋体" w:cs="Tahoma"/>
          <w:kern w:val="0"/>
          <w:sz w:val="24"/>
          <w:szCs w:val="24"/>
        </w:rPr>
        <w:t>日。</w:t>
      </w:r>
    </w:p>
    <w:p>
      <w:pPr>
        <w:pStyle w:val="23"/>
        <w:spacing w:line="540" w:lineRule="exact"/>
        <w:rPr>
          <w:rFonts w:ascii="Tahoma" w:eastAsia="宋体" w:cs="Tahoma"/>
          <w:kern w:val="0"/>
          <w:sz w:val="24"/>
          <w:szCs w:val="24"/>
        </w:rPr>
      </w:pPr>
      <w:r>
        <w:rPr>
          <w:rFonts w:ascii="Tahoma" w:eastAsia="宋体" w:cs="Tahoma"/>
          <w:kern w:val="0"/>
          <w:sz w:val="24"/>
          <w:szCs w:val="24"/>
        </w:rPr>
        <w:t>3</w:t>
      </w:r>
      <w:r>
        <w:rPr>
          <w:rFonts w:hint="eastAsia" w:ascii="Tahoma" w:eastAsia="宋体" w:cs="Tahoma"/>
          <w:kern w:val="0"/>
          <w:sz w:val="24"/>
          <w:szCs w:val="24"/>
        </w:rPr>
        <w:t>．报名地点：广东省东莞市寮步镇小坑村</w:t>
      </w:r>
      <w:r>
        <w:rPr>
          <w:rFonts w:hint="eastAsia" w:ascii="Tahoma" w:eastAsia="宋体" w:cs="Tahoma"/>
          <w:kern w:val="0"/>
          <w:sz w:val="24"/>
          <w:szCs w:val="24"/>
          <w:lang w:eastAsia="zh-CN"/>
        </w:rPr>
        <w:t>东莞城市学院</w:t>
      </w:r>
      <w:r>
        <w:rPr>
          <w:rFonts w:hint="eastAsia" w:ascii="Tahoma" w:eastAsia="宋体" w:cs="Tahoma"/>
          <w:kern w:val="0"/>
          <w:sz w:val="24"/>
          <w:szCs w:val="24"/>
        </w:rPr>
        <w:t>行政楼3楼315</w:t>
      </w:r>
      <w:r>
        <w:rPr>
          <w:rFonts w:hint="eastAsia" w:ascii="Tahoma" w:eastAsia="宋体" w:cs="Tahoma"/>
          <w:kern w:val="0"/>
          <w:sz w:val="24"/>
          <w:szCs w:val="24"/>
          <w:lang w:val="en-US" w:eastAsia="zh-CN"/>
        </w:rPr>
        <w:t>室</w:t>
      </w:r>
      <w:r>
        <w:rPr>
          <w:rFonts w:hint="eastAsia" w:ascii="Tahoma" w:eastAsia="宋体" w:cs="Tahoma"/>
          <w:kern w:val="0"/>
          <w:sz w:val="24"/>
          <w:szCs w:val="24"/>
          <w:lang w:eastAsia="zh-CN"/>
        </w:rPr>
        <w:t>（接受网络报名，投标人</w:t>
      </w:r>
      <w:r>
        <w:rPr>
          <w:rFonts w:hint="eastAsia" w:ascii="Tahoma" w:eastAsia="宋体" w:cs="Tahoma"/>
          <w:kern w:val="0"/>
          <w:sz w:val="24"/>
          <w:szCs w:val="24"/>
          <w:lang w:val="en-US" w:eastAsia="zh-CN"/>
        </w:rPr>
        <w:t>将</w:t>
      </w:r>
      <w:r>
        <w:rPr>
          <w:rFonts w:hint="eastAsia" w:ascii="Tahoma" w:eastAsia="宋体" w:cs="Tahoma"/>
          <w:kern w:val="0"/>
          <w:sz w:val="24"/>
          <w:szCs w:val="24"/>
          <w:lang w:eastAsia="zh-CN"/>
        </w:rPr>
        <w:t>资格资料发送采购办电子邮箱</w:t>
      </w:r>
      <w:r>
        <w:rPr>
          <w:rFonts w:hint="eastAsia" w:ascii="宋体" w:hAnsi="宋体" w:eastAsia="宋体" w:cs="宋体"/>
          <w:kern w:val="0"/>
          <w:sz w:val="24"/>
          <w:szCs w:val="24"/>
        </w:rPr>
        <w:t>xieyan@dgcu.edu.cn</w:t>
      </w:r>
      <w:r>
        <w:rPr>
          <w:rFonts w:hint="eastAsia" w:ascii="Tahoma" w:eastAsia="宋体" w:cs="Tahoma"/>
          <w:kern w:val="0"/>
          <w:sz w:val="24"/>
          <w:szCs w:val="24"/>
          <w:lang w:eastAsia="zh-CN"/>
        </w:rPr>
        <w:t>，邮件标题备注投标项目名称及编号）</w:t>
      </w:r>
      <w:r>
        <w:rPr>
          <w:rFonts w:hint="eastAsia" w:ascii="Tahoma" w:eastAsia="宋体" w:cs="Tahoma"/>
          <w:kern w:val="0"/>
          <w:sz w:val="24"/>
          <w:szCs w:val="24"/>
        </w:rPr>
        <w:t>。</w:t>
      </w:r>
    </w:p>
    <w:p>
      <w:pPr>
        <w:pStyle w:val="23"/>
        <w:spacing w:line="540" w:lineRule="exact"/>
        <w:ind w:left="178" w:leftChars="74" w:firstLine="374" w:firstLineChars="156"/>
        <w:rPr>
          <w:rFonts w:ascii="Tahoma" w:eastAsia="宋体" w:cs="Tahoma"/>
          <w:kern w:val="0"/>
          <w:sz w:val="24"/>
          <w:szCs w:val="24"/>
        </w:rPr>
      </w:pPr>
      <w:r>
        <w:rPr>
          <w:rFonts w:ascii="Tahoma" w:eastAsia="宋体" w:cs="Tahoma"/>
          <w:kern w:val="0"/>
          <w:sz w:val="24"/>
          <w:szCs w:val="24"/>
        </w:rPr>
        <w:t>4</w:t>
      </w:r>
      <w:r>
        <w:rPr>
          <w:rFonts w:hint="eastAsia" w:ascii="Tahoma" w:eastAsia="宋体" w:cs="Tahoma"/>
          <w:kern w:val="0"/>
          <w:sz w:val="24"/>
          <w:szCs w:val="24"/>
        </w:rPr>
        <w:t>．递交投标文件时间、地址：</w:t>
      </w:r>
    </w:p>
    <w:p>
      <w:pPr>
        <w:pStyle w:val="23"/>
        <w:spacing w:line="540" w:lineRule="exact"/>
        <w:ind w:firstLine="31680"/>
        <w:rPr>
          <w:rFonts w:ascii="Tahoma" w:eastAsia="宋体" w:cs="Tahoma"/>
          <w:color w:val="FF0000"/>
          <w:kern w:val="0"/>
          <w:sz w:val="24"/>
          <w:szCs w:val="24"/>
        </w:rPr>
      </w:pPr>
      <w:r>
        <w:rPr>
          <w:rFonts w:hint="eastAsia" w:ascii="Tahoma" w:eastAsia="宋体" w:cs="Tahoma"/>
          <w:kern w:val="0"/>
          <w:sz w:val="24"/>
          <w:szCs w:val="24"/>
        </w:rPr>
        <w:t>递交投标文件时间</w:t>
      </w:r>
      <w:r>
        <w:rPr>
          <w:rFonts w:ascii="Tahoma" w:eastAsia="宋体" w:cs="Tahoma"/>
          <w:kern w:val="0"/>
          <w:sz w:val="24"/>
          <w:szCs w:val="24"/>
        </w:rPr>
        <w:t xml:space="preserve"> </w:t>
      </w:r>
      <w:r>
        <w:rPr>
          <w:rFonts w:hint="eastAsia" w:ascii="Tahoma" w:eastAsia="宋体" w:cs="Tahoma"/>
          <w:color w:val="FF0000"/>
          <w:kern w:val="0"/>
          <w:sz w:val="24"/>
          <w:szCs w:val="24"/>
        </w:rPr>
        <w:t>：</w:t>
      </w:r>
      <w:r>
        <w:rPr>
          <w:rFonts w:hint="eastAsia" w:ascii="Tahoma" w:eastAsia="宋体" w:cs="Tahoma"/>
          <w:color w:val="FF0000"/>
          <w:kern w:val="0"/>
          <w:sz w:val="24"/>
          <w:szCs w:val="24"/>
          <w:lang w:val="en-US" w:eastAsia="zh-CN"/>
        </w:rPr>
        <w:t>2024</w:t>
      </w:r>
      <w:r>
        <w:rPr>
          <w:rFonts w:hint="eastAsia" w:ascii="Tahoma" w:eastAsia="宋体" w:cs="Tahoma"/>
          <w:color w:val="FF0000"/>
          <w:kern w:val="0"/>
          <w:sz w:val="24"/>
          <w:szCs w:val="24"/>
        </w:rPr>
        <w:t>年</w:t>
      </w:r>
      <w:r>
        <w:rPr>
          <w:rFonts w:hint="eastAsia" w:ascii="Tahoma" w:eastAsia="宋体" w:cs="Tahoma"/>
          <w:color w:val="FF0000"/>
          <w:kern w:val="0"/>
          <w:sz w:val="24"/>
          <w:szCs w:val="24"/>
          <w:lang w:val="en-US" w:eastAsia="zh-CN"/>
        </w:rPr>
        <w:t>5</w:t>
      </w:r>
      <w:r>
        <w:rPr>
          <w:rFonts w:hint="eastAsia" w:ascii="Tahoma" w:eastAsia="宋体" w:cs="Tahoma"/>
          <w:color w:val="FF0000"/>
          <w:kern w:val="0"/>
          <w:sz w:val="24"/>
          <w:szCs w:val="24"/>
        </w:rPr>
        <w:t>月</w:t>
      </w:r>
      <w:r>
        <w:rPr>
          <w:rFonts w:hint="eastAsia" w:ascii="Tahoma" w:eastAsia="宋体" w:cs="Tahoma"/>
          <w:color w:val="FF0000"/>
          <w:kern w:val="0"/>
          <w:sz w:val="24"/>
          <w:szCs w:val="24"/>
          <w:lang w:val="en-US" w:eastAsia="zh-CN"/>
        </w:rPr>
        <w:t>15</w:t>
      </w:r>
      <w:r>
        <w:rPr>
          <w:rFonts w:hint="eastAsia" w:ascii="Tahoma" w:eastAsia="宋体" w:cs="Tahoma"/>
          <w:color w:val="FF0000"/>
          <w:kern w:val="0"/>
          <w:sz w:val="24"/>
          <w:szCs w:val="24"/>
        </w:rPr>
        <w:t>日</w:t>
      </w:r>
      <w:r>
        <w:rPr>
          <w:rFonts w:hint="eastAsia" w:ascii="Tahoma" w:eastAsia="宋体" w:cs="Tahoma"/>
          <w:color w:val="FF0000"/>
          <w:kern w:val="0"/>
          <w:sz w:val="24"/>
          <w:szCs w:val="24"/>
          <w:lang w:val="en-US" w:eastAsia="zh-CN"/>
        </w:rPr>
        <w:t>12</w:t>
      </w:r>
      <w:r>
        <w:rPr>
          <w:rFonts w:hint="eastAsia" w:ascii="Tahoma" w:eastAsia="宋体" w:cs="Tahoma"/>
          <w:color w:val="FF0000"/>
          <w:kern w:val="0"/>
          <w:sz w:val="24"/>
          <w:szCs w:val="24"/>
        </w:rPr>
        <w:t>：</w:t>
      </w:r>
      <w:r>
        <w:rPr>
          <w:rFonts w:ascii="Tahoma" w:eastAsia="宋体" w:cs="Tahoma"/>
          <w:color w:val="FF0000"/>
          <w:kern w:val="0"/>
          <w:sz w:val="24"/>
          <w:szCs w:val="24"/>
        </w:rPr>
        <w:t>00</w:t>
      </w:r>
      <w:r>
        <w:rPr>
          <w:rFonts w:hint="eastAsia" w:ascii="Tahoma" w:eastAsia="宋体" w:cs="Tahoma"/>
          <w:color w:val="FF0000"/>
          <w:kern w:val="0"/>
          <w:sz w:val="24"/>
          <w:szCs w:val="24"/>
        </w:rPr>
        <w:t>前（北京时间）。</w:t>
      </w:r>
    </w:p>
    <w:p>
      <w:pPr>
        <w:pStyle w:val="23"/>
        <w:spacing w:line="540" w:lineRule="exact"/>
        <w:ind w:firstLine="31680"/>
        <w:rPr>
          <w:rFonts w:ascii="Tahoma" w:eastAsia="宋体" w:cs="Tahoma"/>
          <w:kern w:val="0"/>
          <w:sz w:val="24"/>
          <w:szCs w:val="24"/>
        </w:rPr>
      </w:pPr>
      <w:r>
        <w:rPr>
          <w:rFonts w:hint="eastAsia" w:ascii="Tahoma" w:eastAsia="宋体" w:cs="Tahoma"/>
          <w:kern w:val="0"/>
          <w:sz w:val="24"/>
          <w:szCs w:val="24"/>
        </w:rPr>
        <w:t>递交投标文件地址：东莞市寮步镇小坑村</w:t>
      </w:r>
      <w:r>
        <w:rPr>
          <w:rFonts w:hint="eastAsia" w:ascii="Tahoma" w:eastAsia="宋体" w:cs="Tahoma"/>
          <w:kern w:val="0"/>
          <w:sz w:val="24"/>
          <w:szCs w:val="24"/>
          <w:lang w:eastAsia="zh-CN"/>
        </w:rPr>
        <w:t>东莞城市学院</w:t>
      </w:r>
      <w:r>
        <w:rPr>
          <w:rFonts w:hint="eastAsia" w:ascii="Tahoma" w:eastAsia="宋体" w:cs="Tahoma"/>
          <w:kern w:val="0"/>
          <w:sz w:val="24"/>
          <w:szCs w:val="24"/>
        </w:rPr>
        <w:t>行政楼3楼315</w:t>
      </w:r>
      <w:r>
        <w:rPr>
          <w:rFonts w:hint="eastAsia" w:ascii="Tahoma" w:eastAsia="宋体" w:cs="Tahoma"/>
          <w:kern w:val="0"/>
          <w:sz w:val="24"/>
          <w:szCs w:val="24"/>
          <w:lang w:val="en-US" w:eastAsia="zh-CN"/>
        </w:rPr>
        <w:t>室</w:t>
      </w:r>
      <w:r>
        <w:rPr>
          <w:rFonts w:ascii="Tahoma" w:eastAsia="宋体" w:cs="Tahoma"/>
          <w:kern w:val="0"/>
          <w:sz w:val="24"/>
          <w:szCs w:val="24"/>
        </w:rPr>
        <w:t xml:space="preserve">       </w:t>
      </w:r>
    </w:p>
    <w:p>
      <w:pPr>
        <w:pStyle w:val="23"/>
        <w:spacing w:line="540" w:lineRule="exact"/>
        <w:ind w:left="178" w:leftChars="74" w:firstLine="374" w:firstLineChars="156"/>
        <w:rPr>
          <w:rFonts w:ascii="Tahoma" w:eastAsia="宋体" w:cs="Tahoma"/>
          <w:kern w:val="0"/>
          <w:sz w:val="24"/>
          <w:szCs w:val="24"/>
        </w:rPr>
      </w:pPr>
      <w:r>
        <w:rPr>
          <w:rFonts w:ascii="Tahoma" w:eastAsia="宋体" w:cs="Tahoma"/>
          <w:kern w:val="0"/>
          <w:sz w:val="24"/>
          <w:szCs w:val="24"/>
        </w:rPr>
        <w:t>5.</w:t>
      </w:r>
      <w:r>
        <w:rPr>
          <w:rFonts w:hint="eastAsia" w:ascii="Tahoma" w:eastAsia="宋体" w:cs="Tahoma"/>
          <w:kern w:val="0"/>
          <w:sz w:val="24"/>
          <w:szCs w:val="24"/>
        </w:rPr>
        <w:t>投标人在正式提交投标文件之前，须向招标人以银行转账方式缴纳</w:t>
      </w:r>
      <w:r>
        <w:rPr>
          <w:rFonts w:hint="eastAsia" w:ascii="Tahoma" w:eastAsia="宋体" w:cs="Tahoma"/>
          <w:kern w:val="0"/>
          <w:sz w:val="24"/>
          <w:szCs w:val="24"/>
          <w:lang w:val="en-US" w:eastAsia="zh-CN"/>
        </w:rPr>
        <w:t>贰</w:t>
      </w:r>
      <w:r>
        <w:rPr>
          <w:rFonts w:hint="eastAsia" w:ascii="Tahoma" w:eastAsia="宋体" w:cs="Tahoma"/>
          <w:kern w:val="0"/>
          <w:sz w:val="24"/>
          <w:szCs w:val="24"/>
        </w:rPr>
        <w:t>万元投标保证金（中标后转为履约保证金）。提交标书时，投标人提供缴款凭证复印件并加盖公章。逾期缴纳将视为自动放弃该项目的投标。投标保证金收款帐户资料如下：</w:t>
      </w:r>
    </w:p>
    <w:p>
      <w:pPr>
        <w:spacing w:line="360" w:lineRule="auto"/>
        <w:ind w:left="927"/>
        <w:rPr>
          <w:rFonts w:hint="eastAsia" w:ascii="Tahoma" w:hAnsi="宋体" w:eastAsia="宋体" w:cs="Tahoma"/>
          <w:kern w:val="0"/>
          <w:sz w:val="24"/>
          <w:szCs w:val="24"/>
          <w:lang w:val="en-US" w:eastAsia="zh-CN" w:bidi="ar-SA"/>
        </w:rPr>
      </w:pPr>
      <w:r>
        <w:rPr>
          <w:rFonts w:hint="eastAsia" w:ascii="Tahoma" w:hAnsi="宋体" w:eastAsia="宋体" w:cs="Tahoma"/>
          <w:kern w:val="0"/>
          <w:sz w:val="24"/>
          <w:szCs w:val="24"/>
          <w:lang w:val="en-US" w:eastAsia="zh-CN" w:bidi="ar-SA"/>
        </w:rPr>
        <w:t>收款人名称：东莞城市学院</w:t>
      </w:r>
    </w:p>
    <w:p>
      <w:pPr>
        <w:spacing w:line="360" w:lineRule="auto"/>
        <w:ind w:left="927"/>
        <w:rPr>
          <w:rFonts w:hint="eastAsia" w:ascii="Tahoma" w:hAnsi="宋体" w:eastAsia="宋体" w:cs="Tahoma"/>
          <w:kern w:val="0"/>
          <w:sz w:val="24"/>
          <w:szCs w:val="24"/>
          <w:lang w:val="en-US" w:eastAsia="zh-CN" w:bidi="ar-SA"/>
        </w:rPr>
      </w:pPr>
      <w:r>
        <w:rPr>
          <w:rFonts w:hint="eastAsia" w:ascii="Tahoma" w:hAnsi="宋体" w:eastAsia="宋体" w:cs="Tahoma"/>
          <w:kern w:val="0"/>
          <w:sz w:val="24"/>
          <w:szCs w:val="24"/>
          <w:lang w:val="en-US" w:eastAsia="zh-CN" w:bidi="ar-SA"/>
        </w:rPr>
        <w:t>开户银行名称：东莞银行万汇支行</w:t>
      </w:r>
    </w:p>
    <w:p>
      <w:pPr>
        <w:spacing w:line="360" w:lineRule="auto"/>
        <w:ind w:left="927"/>
        <w:rPr>
          <w:rFonts w:hint="eastAsia" w:ascii="Tahoma" w:hAnsi="宋体" w:eastAsia="宋体" w:cs="Tahoma"/>
          <w:kern w:val="0"/>
          <w:sz w:val="24"/>
          <w:szCs w:val="24"/>
          <w:lang w:val="en-US" w:eastAsia="zh-CN" w:bidi="ar-SA"/>
        </w:rPr>
      </w:pPr>
      <w:r>
        <w:rPr>
          <w:rFonts w:hint="eastAsia" w:ascii="Tahoma" w:hAnsi="宋体" w:eastAsia="宋体" w:cs="Tahoma"/>
          <w:kern w:val="0"/>
          <w:sz w:val="24"/>
          <w:szCs w:val="24"/>
          <w:lang w:val="en-US" w:eastAsia="zh-CN" w:bidi="ar-SA"/>
        </w:rPr>
        <w:t>开户银行帐号：569000015481178</w:t>
      </w:r>
    </w:p>
    <w:p>
      <w:pPr>
        <w:pStyle w:val="23"/>
        <w:spacing w:line="540" w:lineRule="exact"/>
        <w:ind w:firstLine="31680"/>
        <w:rPr>
          <w:rFonts w:ascii="Tahoma" w:eastAsia="宋体" w:cs="Tahoma"/>
          <w:kern w:val="0"/>
          <w:sz w:val="24"/>
          <w:szCs w:val="24"/>
        </w:rPr>
      </w:pPr>
      <w:r>
        <w:rPr>
          <w:rFonts w:ascii="Tahoma" w:eastAsia="宋体" w:cs="Tahoma"/>
          <w:kern w:val="0"/>
          <w:sz w:val="24"/>
          <w:szCs w:val="24"/>
        </w:rPr>
        <w:t>6</w:t>
      </w:r>
      <w:r>
        <w:rPr>
          <w:rFonts w:hint="eastAsia" w:ascii="Tahoma" w:eastAsia="宋体" w:cs="Tahoma"/>
          <w:kern w:val="0"/>
          <w:sz w:val="24"/>
          <w:szCs w:val="24"/>
        </w:rPr>
        <w:t>．招标人不负责投标人准备投标文件和递交投标文件所发生的任何成本或费用。</w:t>
      </w:r>
    </w:p>
    <w:p>
      <w:pPr>
        <w:pStyle w:val="23"/>
        <w:spacing w:line="540" w:lineRule="exact"/>
        <w:ind w:firstLine="31680"/>
        <w:rPr>
          <w:rFonts w:ascii="Tahoma" w:eastAsia="宋体" w:cs="Tahoma"/>
          <w:kern w:val="0"/>
          <w:sz w:val="24"/>
          <w:szCs w:val="24"/>
        </w:rPr>
      </w:pPr>
      <w:r>
        <w:rPr>
          <w:rFonts w:ascii="Tahoma" w:eastAsia="宋体" w:cs="Tahoma"/>
          <w:kern w:val="0"/>
          <w:sz w:val="24"/>
          <w:szCs w:val="24"/>
        </w:rPr>
        <w:t>7</w:t>
      </w:r>
      <w:r>
        <w:rPr>
          <w:rFonts w:hint="eastAsia" w:ascii="Tahoma" w:eastAsia="宋体" w:cs="Tahoma"/>
          <w:kern w:val="0"/>
          <w:sz w:val="24"/>
          <w:szCs w:val="24"/>
        </w:rPr>
        <w:t>．有关本次招标之事宜，可按下列地址以书面形式查询：</w:t>
      </w:r>
    </w:p>
    <w:p>
      <w:pPr>
        <w:pStyle w:val="23"/>
        <w:spacing w:line="540" w:lineRule="exact"/>
        <w:ind w:firstLine="31680"/>
        <w:rPr>
          <w:rFonts w:hint="eastAsia" w:ascii="Tahoma" w:eastAsia="宋体" w:cs="Tahoma"/>
          <w:kern w:val="0"/>
          <w:sz w:val="24"/>
          <w:szCs w:val="24"/>
          <w:lang w:eastAsia="zh-CN"/>
        </w:rPr>
      </w:pPr>
      <w:r>
        <w:rPr>
          <w:rFonts w:hint="eastAsia" w:ascii="Tahoma" w:eastAsia="宋体" w:cs="Tahoma"/>
          <w:kern w:val="0"/>
          <w:sz w:val="24"/>
          <w:szCs w:val="24"/>
        </w:rPr>
        <w:t>单位名称：</w:t>
      </w:r>
      <w:r>
        <w:rPr>
          <w:rFonts w:hint="eastAsia" w:ascii="Tahoma" w:eastAsia="宋体" w:cs="Tahoma"/>
          <w:kern w:val="0"/>
          <w:sz w:val="24"/>
          <w:szCs w:val="24"/>
          <w:lang w:eastAsia="zh-CN"/>
        </w:rPr>
        <w:t>东莞城市学院</w:t>
      </w:r>
    </w:p>
    <w:p>
      <w:pPr>
        <w:pStyle w:val="23"/>
        <w:spacing w:line="540" w:lineRule="exact"/>
        <w:ind w:firstLine="31680"/>
        <w:rPr>
          <w:rFonts w:ascii="Tahoma" w:eastAsia="宋体" w:cs="Tahoma"/>
          <w:kern w:val="0"/>
          <w:sz w:val="24"/>
          <w:szCs w:val="24"/>
        </w:rPr>
      </w:pPr>
      <w:r>
        <w:rPr>
          <w:rFonts w:hint="eastAsia" w:ascii="Tahoma" w:eastAsia="宋体" w:cs="Tahoma"/>
          <w:kern w:val="0"/>
          <w:sz w:val="24"/>
          <w:szCs w:val="24"/>
        </w:rPr>
        <w:t>详细地址：广东省东莞市寮步镇文昌路</w:t>
      </w:r>
      <w:r>
        <w:rPr>
          <w:rFonts w:ascii="Tahoma" w:eastAsia="宋体" w:cs="Tahoma"/>
          <w:kern w:val="0"/>
          <w:sz w:val="24"/>
          <w:szCs w:val="24"/>
        </w:rPr>
        <w:t>1</w:t>
      </w:r>
      <w:r>
        <w:rPr>
          <w:rFonts w:hint="eastAsia" w:ascii="Tahoma" w:eastAsia="宋体" w:cs="Tahoma"/>
          <w:kern w:val="0"/>
          <w:sz w:val="24"/>
          <w:szCs w:val="24"/>
        </w:rPr>
        <w:t>号</w:t>
      </w:r>
      <w:r>
        <w:rPr>
          <w:rFonts w:ascii="Tahoma" w:eastAsia="宋体" w:cs="Tahoma"/>
          <w:kern w:val="0"/>
          <w:sz w:val="24"/>
          <w:szCs w:val="24"/>
        </w:rPr>
        <w:t xml:space="preserve">          </w:t>
      </w:r>
    </w:p>
    <w:p>
      <w:pPr>
        <w:pStyle w:val="23"/>
        <w:spacing w:line="540" w:lineRule="exact"/>
        <w:ind w:firstLine="31680"/>
        <w:rPr>
          <w:rFonts w:hint="eastAsia" w:ascii="宋体" w:hAnsi="宋体" w:eastAsia="宋体" w:cs="宋体"/>
          <w:kern w:val="0"/>
          <w:sz w:val="24"/>
          <w:szCs w:val="24"/>
        </w:rPr>
      </w:pPr>
      <w:r>
        <w:rPr>
          <w:rFonts w:hint="eastAsia" w:ascii="宋体" w:hAnsi="宋体" w:eastAsia="宋体" w:cs="宋体"/>
          <w:kern w:val="0"/>
          <w:sz w:val="24"/>
          <w:szCs w:val="24"/>
        </w:rPr>
        <w:t>联系人： 谢</w:t>
      </w:r>
      <w:r>
        <w:rPr>
          <w:rFonts w:hint="eastAsia" w:ascii="宋体" w:hAnsi="宋体" w:eastAsia="宋体" w:cs="宋体"/>
          <w:kern w:val="0"/>
          <w:sz w:val="24"/>
          <w:szCs w:val="24"/>
          <w:lang w:val="en-US" w:eastAsia="zh-CN"/>
        </w:rPr>
        <w:t>老师</w:t>
      </w:r>
      <w:r>
        <w:rPr>
          <w:rFonts w:hint="eastAsia" w:ascii="宋体" w:hAnsi="宋体" w:eastAsia="宋体" w:cs="宋体"/>
          <w:kern w:val="0"/>
          <w:sz w:val="24"/>
          <w:szCs w:val="24"/>
        </w:rPr>
        <w:t>、陈</w:t>
      </w:r>
      <w:r>
        <w:rPr>
          <w:rFonts w:hint="eastAsia" w:ascii="宋体" w:hAnsi="宋体" w:eastAsia="宋体" w:cs="宋体"/>
          <w:kern w:val="0"/>
          <w:sz w:val="24"/>
          <w:szCs w:val="24"/>
          <w:lang w:val="en-US" w:eastAsia="zh-CN"/>
        </w:rPr>
        <w:t>老师</w:t>
      </w:r>
      <w:r>
        <w:rPr>
          <w:rFonts w:hint="eastAsia" w:ascii="宋体" w:hAnsi="宋体" w:eastAsia="宋体" w:cs="宋体"/>
          <w:kern w:val="0"/>
          <w:sz w:val="24"/>
          <w:szCs w:val="24"/>
        </w:rPr>
        <w:t xml:space="preserve">　  </w:t>
      </w:r>
    </w:p>
    <w:p>
      <w:pPr>
        <w:pStyle w:val="23"/>
        <w:spacing w:line="540" w:lineRule="exact"/>
        <w:ind w:firstLine="31680"/>
        <w:rPr>
          <w:rFonts w:hint="eastAsia" w:ascii="宋体" w:hAnsi="宋体" w:eastAsia="宋体" w:cs="宋体"/>
          <w:kern w:val="0"/>
          <w:sz w:val="24"/>
          <w:szCs w:val="24"/>
        </w:rPr>
      </w:pPr>
      <w:r>
        <w:rPr>
          <w:rFonts w:hint="eastAsia" w:ascii="宋体" w:hAnsi="宋体" w:eastAsia="宋体" w:cs="宋体"/>
          <w:kern w:val="0"/>
          <w:sz w:val="24"/>
          <w:szCs w:val="24"/>
        </w:rPr>
        <w:t>联系电话：0769-23382668</w:t>
      </w:r>
    </w:p>
    <w:p>
      <w:pPr>
        <w:pStyle w:val="23"/>
        <w:spacing w:line="540" w:lineRule="exact"/>
        <w:ind w:firstLine="31680"/>
        <w:rPr>
          <w:rFonts w:hint="eastAsia" w:ascii="宋体" w:hAnsi="宋体" w:eastAsia="宋体" w:cs="宋体"/>
          <w:kern w:val="0"/>
          <w:sz w:val="24"/>
          <w:szCs w:val="24"/>
        </w:rPr>
      </w:pPr>
      <w:r>
        <w:rPr>
          <w:rFonts w:hint="eastAsia" w:ascii="宋体" w:hAnsi="宋体" w:eastAsia="宋体" w:cs="宋体"/>
          <w:kern w:val="0"/>
          <w:sz w:val="24"/>
          <w:szCs w:val="24"/>
        </w:rPr>
        <w:t>邮箱：xieyan@dgcu.edu.cn</w:t>
      </w:r>
    </w:p>
    <w:p>
      <w:pPr>
        <w:spacing w:line="360" w:lineRule="auto"/>
        <w:rPr>
          <w:rFonts w:ascii="Tahoma" w:cs="Tahoma"/>
          <w:b/>
          <w:bCs/>
          <w:sz w:val="28"/>
          <w:szCs w:val="28"/>
        </w:rPr>
      </w:pPr>
    </w:p>
    <w:p>
      <w:pPr>
        <w:spacing w:line="360" w:lineRule="auto"/>
        <w:rPr>
          <w:rFonts w:ascii="Tahoma" w:hAnsi="Tahoma" w:cs="Tahoma"/>
          <w:b/>
          <w:bCs/>
          <w:szCs w:val="28"/>
        </w:rPr>
      </w:pPr>
      <w:r>
        <w:rPr>
          <w:rFonts w:hint="eastAsia" w:ascii="Tahoma" w:cs="Tahoma"/>
          <w:b/>
          <w:bCs/>
          <w:sz w:val="28"/>
          <w:szCs w:val="28"/>
        </w:rPr>
        <w:t>一、项目简介</w:t>
      </w:r>
    </w:p>
    <w:p>
      <w:pPr>
        <w:spacing w:line="300" w:lineRule="auto"/>
        <w:ind w:firstLine="480" w:firstLineChars="200"/>
        <w:rPr>
          <w:rFonts w:hint="eastAsia" w:ascii="宋体" w:hAnsi="宋体" w:cs="宋体"/>
        </w:rPr>
      </w:pPr>
      <w:r>
        <w:rPr>
          <w:rFonts w:hint="eastAsia" w:ascii="宋体" w:hAnsi="宋体" w:cs="宋体"/>
        </w:rPr>
        <w:t>校园占地500亩，建筑面积42万平方米，楼宇28栋，建筑面积最大的一栋为7号楼（教学楼）建筑面积为48503平方米。</w:t>
      </w:r>
    </w:p>
    <w:p>
      <w:pPr>
        <w:spacing w:line="300" w:lineRule="auto"/>
        <w:rPr>
          <w:rFonts w:hint="eastAsia" w:ascii="宋体" w:hAnsi="宋体" w:cs="宋体"/>
        </w:rPr>
      </w:pPr>
      <w:r>
        <w:rPr>
          <w:rFonts w:hint="eastAsia" w:ascii="宋体" w:hAnsi="宋体" w:cs="宋体"/>
        </w:rPr>
        <w:t>项目位置：广东省东莞市寮步镇文昌路1号</w:t>
      </w:r>
      <w:r>
        <w:rPr>
          <w:rFonts w:hint="eastAsia" w:ascii="宋体" w:hAnsi="宋体" w:cs="宋体"/>
          <w:lang w:eastAsia="zh-CN"/>
        </w:rPr>
        <w:t>东莞城市学院</w:t>
      </w:r>
      <w:r>
        <w:rPr>
          <w:rFonts w:hint="eastAsia" w:ascii="宋体" w:hAnsi="宋体" w:cs="宋体"/>
        </w:rPr>
        <w:t>。</w:t>
      </w:r>
    </w:p>
    <w:p>
      <w:pPr>
        <w:numPr>
          <w:ilvl w:val="0"/>
          <w:numId w:val="1"/>
        </w:numPr>
        <w:spacing w:line="300" w:lineRule="auto"/>
        <w:rPr>
          <w:rFonts w:hint="eastAsia" w:ascii="宋体" w:hAnsi="宋体" w:cs="宋体"/>
        </w:rPr>
      </w:pPr>
      <w:r>
        <w:rPr>
          <w:rFonts w:hint="eastAsia" w:ascii="宋体" w:hAnsi="宋体" w:cs="宋体"/>
        </w:rPr>
        <w:t>工程描述及招标范围：</w:t>
      </w:r>
    </w:p>
    <w:p>
      <w:pPr>
        <w:tabs>
          <w:tab w:val="left" w:pos="540"/>
        </w:tabs>
        <w:spacing w:line="300" w:lineRule="auto"/>
        <w:ind w:firstLine="480" w:firstLineChars="200"/>
        <w:rPr>
          <w:rFonts w:hint="eastAsia" w:ascii="宋体" w:hAnsi="宋体" w:cs="宋体"/>
        </w:rPr>
      </w:pPr>
      <w:r>
        <w:rPr>
          <w:rFonts w:hint="eastAsia" w:ascii="宋体" w:hAnsi="宋体" w:cs="宋体"/>
        </w:rPr>
        <w:t>学院所有建筑的消防设施，报价请参考</w:t>
      </w:r>
      <w:r>
        <w:rPr>
          <w:rFonts w:hint="eastAsia" w:ascii="宋体" w:hAnsi="宋体" w:cs="宋体"/>
          <w:color w:val="auto"/>
        </w:rPr>
        <w:t>《</w:t>
      </w:r>
      <w:r>
        <w:rPr>
          <w:rFonts w:hint="eastAsia" w:ascii="宋体" w:hAnsi="宋体" w:cs="宋体"/>
          <w:color w:val="auto"/>
          <w:lang w:eastAsia="zh-CN"/>
        </w:rPr>
        <w:t>东莞城市学院</w:t>
      </w:r>
      <w:r>
        <w:rPr>
          <w:rFonts w:hint="eastAsia" w:ascii="宋体" w:hAnsi="宋体" w:cs="宋体"/>
          <w:color w:val="auto"/>
        </w:rPr>
        <w:t>20</w:t>
      </w:r>
      <w:r>
        <w:rPr>
          <w:rFonts w:hint="eastAsia" w:ascii="宋体" w:hAnsi="宋体" w:cs="宋体"/>
          <w:color w:val="auto"/>
          <w:lang w:val="en-US" w:eastAsia="zh-CN"/>
        </w:rPr>
        <w:t>24</w:t>
      </w:r>
      <w:r>
        <w:rPr>
          <w:rFonts w:hint="eastAsia" w:ascii="宋体" w:hAnsi="宋体" w:cs="宋体"/>
          <w:color w:val="auto"/>
        </w:rPr>
        <w:t>-20</w:t>
      </w:r>
      <w:r>
        <w:rPr>
          <w:rFonts w:hint="eastAsia" w:ascii="宋体" w:hAnsi="宋体" w:cs="宋体"/>
          <w:color w:val="auto"/>
          <w:lang w:val="en-US" w:eastAsia="zh-CN"/>
        </w:rPr>
        <w:t>25</w:t>
      </w:r>
      <w:r>
        <w:rPr>
          <w:rFonts w:hint="eastAsia" w:ascii="宋体" w:hAnsi="宋体" w:cs="宋体"/>
          <w:color w:val="auto"/>
        </w:rPr>
        <w:t>年消防设施维护保养工程量清单》。</w:t>
      </w:r>
    </w:p>
    <w:p>
      <w:pPr>
        <w:tabs>
          <w:tab w:val="left" w:pos="540"/>
        </w:tabs>
        <w:spacing w:line="300" w:lineRule="auto"/>
        <w:ind w:firstLine="480" w:firstLineChars="200"/>
        <w:rPr>
          <w:rFonts w:hint="eastAsia" w:ascii="宋体" w:hAnsi="宋体" w:cs="宋体"/>
        </w:rPr>
      </w:pPr>
      <w:r>
        <w:rPr>
          <w:rFonts w:hint="eastAsia" w:ascii="宋体" w:hAnsi="宋体" w:cs="宋体"/>
        </w:rPr>
        <w:t>具体参考下述要求、工程量与报价表，结合勘测现场所掌握的数据编制技术与施工方案。</w:t>
      </w:r>
    </w:p>
    <w:p>
      <w:pPr>
        <w:numPr>
          <w:ilvl w:val="0"/>
          <w:numId w:val="1"/>
        </w:numPr>
        <w:spacing w:line="300" w:lineRule="auto"/>
        <w:rPr>
          <w:rFonts w:hint="eastAsia" w:ascii="宋体" w:hAnsi="宋体" w:cs="宋体"/>
        </w:rPr>
      </w:pPr>
      <w:r>
        <w:rPr>
          <w:rFonts w:hint="eastAsia" w:ascii="宋体" w:hAnsi="宋体" w:cs="宋体"/>
        </w:rPr>
        <w:t>工程简介：本次招标范围内的消防设施均已投入使用。</w:t>
      </w:r>
    </w:p>
    <w:p>
      <w:pPr>
        <w:numPr>
          <w:ilvl w:val="0"/>
          <w:numId w:val="1"/>
        </w:numPr>
        <w:spacing w:line="300" w:lineRule="auto"/>
        <w:rPr>
          <w:rFonts w:hint="eastAsia" w:ascii="宋体" w:hAnsi="宋体" w:cs="宋体"/>
        </w:rPr>
      </w:pPr>
      <w:r>
        <w:rPr>
          <w:rFonts w:hint="eastAsia" w:ascii="宋体" w:hAnsi="宋体" w:cs="宋体"/>
        </w:rPr>
        <w:t>本维护保养工程标准及依据：</w:t>
      </w:r>
    </w:p>
    <w:p>
      <w:pPr>
        <w:numPr>
          <w:ilvl w:val="0"/>
          <w:numId w:val="2"/>
        </w:numPr>
        <w:spacing w:line="300" w:lineRule="auto"/>
        <w:rPr>
          <w:rFonts w:hint="eastAsia" w:ascii="宋体" w:hAnsi="宋体" w:cs="宋体"/>
        </w:rPr>
      </w:pPr>
      <w:r>
        <w:rPr>
          <w:rFonts w:hint="eastAsia" w:ascii="宋体" w:hAnsi="宋体" w:cs="宋体"/>
        </w:rPr>
        <w:t>《广东省消防设施使用维护管理规定》</w:t>
      </w:r>
    </w:p>
    <w:p>
      <w:pPr>
        <w:numPr>
          <w:ilvl w:val="0"/>
          <w:numId w:val="2"/>
        </w:numPr>
        <w:spacing w:line="300" w:lineRule="auto"/>
        <w:rPr>
          <w:rFonts w:hint="eastAsia" w:ascii="宋体" w:hAnsi="宋体" w:cs="宋体"/>
        </w:rPr>
      </w:pPr>
      <w:r>
        <w:rPr>
          <w:rFonts w:hint="eastAsia" w:ascii="宋体" w:hAnsi="宋体" w:cs="宋体"/>
        </w:rPr>
        <w:t>《东莞市消防条例》</w:t>
      </w:r>
    </w:p>
    <w:p>
      <w:pPr>
        <w:numPr>
          <w:ilvl w:val="0"/>
          <w:numId w:val="2"/>
        </w:numPr>
        <w:spacing w:line="300" w:lineRule="auto"/>
        <w:rPr>
          <w:rFonts w:hint="eastAsia" w:ascii="宋体" w:hAnsi="宋体" w:cs="宋体"/>
        </w:rPr>
      </w:pPr>
      <w:r>
        <w:rPr>
          <w:rFonts w:hint="eastAsia" w:ascii="宋体" w:hAnsi="宋体" w:cs="宋体"/>
        </w:rPr>
        <w:t>《火灾自动报警系统施工与验收规范》</w:t>
      </w:r>
    </w:p>
    <w:p>
      <w:pPr>
        <w:numPr>
          <w:ilvl w:val="0"/>
          <w:numId w:val="2"/>
        </w:numPr>
        <w:spacing w:line="300" w:lineRule="auto"/>
        <w:rPr>
          <w:rFonts w:hint="eastAsia" w:ascii="宋体" w:hAnsi="宋体" w:cs="宋体"/>
        </w:rPr>
      </w:pPr>
      <w:r>
        <w:rPr>
          <w:rFonts w:hint="eastAsia" w:ascii="宋体" w:hAnsi="宋体" w:cs="宋体"/>
        </w:rPr>
        <w:t>《自动喷水灭火系统施工与验收规范》</w:t>
      </w:r>
    </w:p>
    <w:p>
      <w:pPr>
        <w:numPr>
          <w:ilvl w:val="0"/>
          <w:numId w:val="2"/>
        </w:numPr>
        <w:spacing w:line="300" w:lineRule="auto"/>
        <w:rPr>
          <w:rFonts w:hint="eastAsia" w:ascii="宋体" w:hAnsi="宋体" w:cs="宋体"/>
        </w:rPr>
      </w:pPr>
      <w:r>
        <w:rPr>
          <w:rFonts w:hint="eastAsia" w:ascii="宋体" w:hAnsi="宋体" w:cs="宋体"/>
        </w:rPr>
        <w:t>《消火栓给水系统施工与验收规范》</w:t>
      </w:r>
    </w:p>
    <w:p>
      <w:pPr>
        <w:numPr>
          <w:ilvl w:val="0"/>
          <w:numId w:val="2"/>
        </w:numPr>
        <w:spacing w:line="300" w:lineRule="auto"/>
        <w:rPr>
          <w:rFonts w:hint="eastAsia" w:ascii="宋体" w:hAnsi="宋体" w:cs="宋体"/>
        </w:rPr>
      </w:pPr>
      <w:r>
        <w:rPr>
          <w:rFonts w:hint="eastAsia" w:ascii="宋体" w:hAnsi="宋体" w:cs="宋体"/>
        </w:rPr>
        <w:t>其他相关的消防法规、规范和技术要求</w:t>
      </w:r>
    </w:p>
    <w:p>
      <w:pPr>
        <w:numPr>
          <w:ilvl w:val="0"/>
          <w:numId w:val="1"/>
        </w:numPr>
        <w:spacing w:line="300" w:lineRule="auto"/>
        <w:rPr>
          <w:rFonts w:hint="eastAsia" w:ascii="宋体" w:hAnsi="宋体" w:cs="宋体"/>
        </w:rPr>
      </w:pPr>
      <w:r>
        <w:rPr>
          <w:rFonts w:hint="eastAsia" w:ascii="宋体" w:hAnsi="宋体" w:cs="宋体"/>
        </w:rPr>
        <w:t>维护保养期限：</w:t>
      </w:r>
    </w:p>
    <w:p>
      <w:pPr>
        <w:numPr>
          <w:ilvl w:val="0"/>
          <w:numId w:val="3"/>
        </w:numPr>
        <w:spacing w:line="300" w:lineRule="auto"/>
        <w:rPr>
          <w:rFonts w:hint="eastAsia" w:ascii="宋体" w:hAnsi="宋体" w:cs="宋体"/>
          <w:b w:val="0"/>
          <w:bCs w:val="0"/>
        </w:rPr>
      </w:pPr>
      <w:r>
        <w:rPr>
          <w:rFonts w:hint="eastAsia" w:ascii="宋体" w:hAnsi="宋体" w:cs="宋体"/>
          <w:b w:val="0"/>
          <w:bCs w:val="0"/>
        </w:rPr>
        <w:t>该维护保养工程合同期限为</w:t>
      </w:r>
      <w:r>
        <w:rPr>
          <w:rFonts w:hint="eastAsia" w:ascii="宋体" w:hAnsi="宋体" w:cs="宋体"/>
          <w:b/>
          <w:bCs/>
          <w:u w:val="single"/>
          <w:lang w:val="en-US" w:eastAsia="zh-CN"/>
        </w:rPr>
        <w:t>壹</w:t>
      </w:r>
      <w:r>
        <w:rPr>
          <w:rFonts w:hint="eastAsia" w:ascii="宋体" w:hAnsi="宋体" w:cs="宋体"/>
          <w:b w:val="0"/>
          <w:bCs w:val="0"/>
        </w:rPr>
        <w:t>年。</w:t>
      </w:r>
    </w:p>
    <w:p>
      <w:pPr>
        <w:numPr>
          <w:ilvl w:val="0"/>
          <w:numId w:val="3"/>
        </w:numPr>
        <w:spacing w:line="300" w:lineRule="auto"/>
        <w:rPr>
          <w:rFonts w:hint="eastAsia" w:ascii="宋体" w:hAnsi="宋体" w:cs="宋体"/>
        </w:rPr>
      </w:pPr>
      <w:r>
        <w:rPr>
          <w:rFonts w:hint="eastAsia" w:ascii="宋体" w:hAnsi="宋体" w:cs="宋体"/>
        </w:rPr>
        <w:t>合同期满后，如乙方在合同履约期间所提供的服务标准满足或超过甲方的使用需求，经双方协商可延续该维护保养合同。</w:t>
      </w:r>
    </w:p>
    <w:p>
      <w:pPr>
        <w:spacing w:line="300" w:lineRule="auto"/>
        <w:rPr>
          <w:rFonts w:hint="eastAsia" w:ascii="宋体" w:hAnsi="宋体" w:cs="宋体"/>
          <w:b/>
          <w:bCs/>
          <w:sz w:val="28"/>
          <w:szCs w:val="28"/>
        </w:rPr>
      </w:pPr>
      <w:r>
        <w:rPr>
          <w:rFonts w:hint="eastAsia" w:ascii="宋体" w:hAnsi="宋体" w:cs="宋体"/>
          <w:b/>
          <w:bCs/>
          <w:sz w:val="28"/>
          <w:szCs w:val="28"/>
        </w:rPr>
        <w:t>二、投标须知</w:t>
      </w:r>
    </w:p>
    <w:p>
      <w:pPr>
        <w:numPr>
          <w:ilvl w:val="0"/>
          <w:numId w:val="4"/>
        </w:numPr>
        <w:tabs>
          <w:tab w:val="left" w:pos="567"/>
          <w:tab w:val="left" w:pos="709"/>
          <w:tab w:val="clear" w:pos="420"/>
        </w:tabs>
        <w:spacing w:line="300" w:lineRule="auto"/>
        <w:ind w:firstLine="6"/>
        <w:rPr>
          <w:rFonts w:hint="eastAsia" w:ascii="宋体" w:hAnsi="宋体" w:cs="宋体"/>
          <w:color w:val="000000"/>
        </w:rPr>
      </w:pPr>
      <w:r>
        <w:rPr>
          <w:rFonts w:hint="eastAsia" w:ascii="宋体" w:hAnsi="宋体" w:cs="宋体"/>
          <w:color w:val="000000"/>
        </w:rPr>
        <w:t>投标人资格：</w:t>
      </w:r>
    </w:p>
    <w:p>
      <w:pPr>
        <w:keepNext w:val="0"/>
        <w:keepLines w:val="0"/>
        <w:pageBreakBefore w:val="0"/>
        <w:kinsoku/>
        <w:wordWrap/>
        <w:overflowPunct/>
        <w:topLinePunct w:val="0"/>
        <w:autoSpaceDE/>
        <w:autoSpaceDN/>
        <w:bidi w:val="0"/>
        <w:adjustRightInd/>
        <w:spacing w:line="300" w:lineRule="auto"/>
        <w:ind w:firstLine="480" w:firstLineChars="200"/>
        <w:rPr>
          <w:rFonts w:hint="eastAsia" w:ascii="宋体" w:hAnsi="宋体" w:eastAsia="宋体" w:cs="宋体"/>
          <w:color w:val="000000"/>
          <w:sz w:val="24"/>
          <w:szCs w:val="24"/>
          <w:lang w:eastAsia="zh-CN"/>
        </w:rPr>
      </w:pPr>
      <w:r>
        <w:rPr>
          <w:rFonts w:hint="eastAsia" w:ascii="宋体" w:hAnsi="宋体" w:cs="宋体"/>
          <w:sz w:val="24"/>
          <w:szCs w:val="24"/>
        </w:rPr>
        <w:t>1.符合《招标投标法》规定的供应商资格条件</w:t>
      </w:r>
      <w:r>
        <w:rPr>
          <w:rFonts w:hint="eastAsia" w:ascii="宋体" w:hAnsi="宋体" w:cs="宋体"/>
          <w:sz w:val="24"/>
          <w:szCs w:val="24"/>
          <w:lang w:eastAsia="zh-CN"/>
        </w:rPr>
        <w:t>。</w:t>
      </w:r>
    </w:p>
    <w:p>
      <w:pPr>
        <w:pStyle w:val="4"/>
        <w:keepNext w:val="0"/>
        <w:keepLines w:val="0"/>
        <w:pageBreakBefore w:val="0"/>
        <w:kinsoku/>
        <w:wordWrap/>
        <w:overflowPunct/>
        <w:topLinePunct w:val="0"/>
        <w:autoSpaceDE/>
        <w:autoSpaceDN/>
        <w:bidi w:val="0"/>
        <w:adjustRightInd/>
        <w:snapToGrid w:val="0"/>
        <w:spacing w:line="300" w:lineRule="auto"/>
        <w:ind w:firstLine="0" w:firstLineChars="0"/>
        <w:jc w:val="left"/>
        <w:textAlignment w:val="baseline"/>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eastAsia="宋体"/>
          <w:sz w:val="24"/>
          <w:szCs w:val="24"/>
        </w:rPr>
        <w:t>具备应急管理部消防救援局https://www.119.gov.cn/备案（消防维保检测，安全评估）</w:t>
      </w:r>
      <w:r>
        <w:rPr>
          <w:rFonts w:hint="eastAsia" w:ascii="宋体" w:hAnsi="宋体" w:cs="宋体"/>
          <w:sz w:val="24"/>
          <w:szCs w:val="24"/>
        </w:rPr>
        <w:t>；/</w:t>
      </w:r>
      <w:r>
        <w:rPr>
          <w:rFonts w:hint="eastAsia" w:ascii="宋体" w:eastAsia="宋体"/>
          <w:sz w:val="24"/>
          <w:szCs w:val="24"/>
        </w:rPr>
        <w:t>具有消防设施工程专业承包二级资质以上</w:t>
      </w:r>
      <w:r>
        <w:rPr>
          <w:rFonts w:hint="eastAsia" w:ascii="宋体" w:hAnsi="宋体" w:cs="宋体"/>
          <w:sz w:val="24"/>
          <w:szCs w:val="24"/>
        </w:rPr>
        <w:t>。</w:t>
      </w:r>
    </w:p>
    <w:p>
      <w:pPr>
        <w:pStyle w:val="4"/>
        <w:keepNext w:val="0"/>
        <w:keepLines w:val="0"/>
        <w:pageBreakBefore w:val="0"/>
        <w:kinsoku/>
        <w:wordWrap/>
        <w:overflowPunct/>
        <w:topLinePunct w:val="0"/>
        <w:autoSpaceDE/>
        <w:autoSpaceDN/>
        <w:bidi w:val="0"/>
        <w:adjustRightInd/>
        <w:snapToGrid w:val="0"/>
        <w:spacing w:line="300" w:lineRule="auto"/>
        <w:ind w:firstLine="0" w:firstLineChars="0"/>
        <w:jc w:val="left"/>
        <w:textAlignment w:val="baseline"/>
        <w:rPr>
          <w:rFonts w:hint="eastAsia" w:ascii="宋体" w:hAnsi="宋体" w:eastAsia="宋体" w:cs="宋体"/>
          <w:sz w:val="24"/>
          <w:szCs w:val="24"/>
          <w:lang w:eastAsia="zh-CN"/>
        </w:rPr>
      </w:pPr>
      <w:r>
        <w:rPr>
          <w:rFonts w:hint="eastAsia" w:ascii="宋体" w:hAnsi="宋体" w:cs="宋体"/>
          <w:sz w:val="24"/>
          <w:szCs w:val="24"/>
        </w:rPr>
        <w:t>3.具有与消防设施维护保养相适应的管理人员、专业技术人员和技术工人</w:t>
      </w:r>
      <w:r>
        <w:rPr>
          <w:rFonts w:hint="eastAsia" w:ascii="宋体" w:hAnsi="宋体" w:cs="宋体"/>
          <w:sz w:val="24"/>
          <w:szCs w:val="24"/>
          <w:lang w:eastAsia="zh-CN"/>
        </w:rPr>
        <w:t>。</w:t>
      </w:r>
      <w:r>
        <w:rPr>
          <w:rFonts w:hint="eastAsia" w:ascii="宋体" w:hAnsi="宋体" w:cs="宋体"/>
          <w:sz w:val="24"/>
          <w:szCs w:val="24"/>
          <w:lang w:val="en-US" w:eastAsia="zh-CN"/>
        </w:rPr>
        <w:t>项目经理具有一级注册消防工程师证，技术人员具有中级建（构）筑物消防员资质，</w:t>
      </w:r>
      <w:r>
        <w:rPr>
          <w:rFonts w:hint="eastAsia" w:ascii="宋体" w:hAnsi="宋体" w:cs="宋体"/>
          <w:sz w:val="24"/>
          <w:szCs w:val="24"/>
        </w:rPr>
        <w:t>2年以上消防设施维护保养经验</w:t>
      </w:r>
      <w:r>
        <w:rPr>
          <w:rFonts w:hint="eastAsia" w:ascii="宋体" w:hAnsi="宋体" w:cs="宋体"/>
          <w:sz w:val="24"/>
          <w:szCs w:val="24"/>
          <w:lang w:eastAsia="zh-CN"/>
        </w:rPr>
        <w:t>。</w:t>
      </w:r>
      <w:r>
        <w:rPr>
          <w:rFonts w:hint="eastAsia" w:ascii="宋体" w:hAnsi="宋体" w:cs="宋体"/>
          <w:sz w:val="24"/>
          <w:szCs w:val="24"/>
        </w:rPr>
        <w:t>（需提供样板项目合同文件证明）</w:t>
      </w:r>
    </w:p>
    <w:p>
      <w:pPr>
        <w:keepNext w:val="0"/>
        <w:keepLines w:val="0"/>
        <w:pageBreakBefore w:val="0"/>
        <w:kinsoku/>
        <w:wordWrap/>
        <w:overflowPunct/>
        <w:topLinePunct w:val="0"/>
        <w:autoSpaceDE/>
        <w:autoSpaceDN/>
        <w:bidi w:val="0"/>
        <w:adjustRightInd/>
        <w:spacing w:line="30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4.具有良好的社会信誉</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pacing w:line="30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5.具有较好的技术、装备力量和经济实力</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pacing w:line="30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6.投标单位参与投标活动的联系人应为其法人代表或持有法人代表书面授权委托书的代理人</w:t>
      </w:r>
      <w:r>
        <w:rPr>
          <w:rFonts w:hint="eastAsia" w:ascii="宋体" w:hAnsi="宋体" w:cs="宋体"/>
          <w:sz w:val="24"/>
          <w:szCs w:val="24"/>
          <w:lang w:eastAsia="zh-CN"/>
        </w:rPr>
        <w:t>。</w:t>
      </w:r>
      <w:bookmarkStart w:id="0" w:name="_GoBack"/>
      <w:bookmarkEnd w:id="0"/>
    </w:p>
    <w:p>
      <w:pPr>
        <w:keepNext w:val="0"/>
        <w:keepLines w:val="0"/>
        <w:pageBreakBefore w:val="0"/>
        <w:kinsoku/>
        <w:wordWrap/>
        <w:overflowPunct/>
        <w:topLinePunct w:val="0"/>
        <w:autoSpaceDE/>
        <w:autoSpaceDN/>
        <w:bidi w:val="0"/>
        <w:adjustRightInd/>
        <w:spacing w:line="300" w:lineRule="auto"/>
        <w:ind w:firstLine="480" w:firstLineChars="200"/>
        <w:rPr>
          <w:rFonts w:hint="eastAsia" w:ascii="宋体" w:hAnsi="宋体" w:eastAsia="宋体" w:cs="宋体"/>
          <w:sz w:val="24"/>
          <w:szCs w:val="24"/>
          <w:u w:val="single"/>
          <w:lang w:val="en-US" w:eastAsia="zh-CN"/>
        </w:rPr>
      </w:pPr>
      <w:r>
        <w:rPr>
          <w:rFonts w:hint="eastAsia" w:ascii="宋体" w:hAnsi="宋体" w:cs="宋体"/>
          <w:sz w:val="24"/>
          <w:szCs w:val="24"/>
          <w:lang w:val="en-US" w:eastAsia="zh-CN"/>
        </w:rPr>
        <w:t>7.</w:t>
      </w:r>
      <w:r>
        <w:rPr>
          <w:rFonts w:hint="eastAsia" w:ascii="宋体" w:hAnsi="宋体" w:cs="宋体"/>
          <w:sz w:val="24"/>
          <w:szCs w:val="24"/>
          <w:u w:val="single"/>
          <w:lang w:val="en-US" w:eastAsia="zh-CN"/>
        </w:rPr>
        <w:t>投标人注册地在东莞市或有固定售后服务点（需提供场所租赁合同证明）首先选择</w:t>
      </w:r>
      <w:r>
        <w:rPr>
          <w:rFonts w:hint="eastAsia" w:ascii="宋体" w:hAnsi="宋体" w:cs="宋体"/>
          <w:sz w:val="24"/>
          <w:szCs w:val="24"/>
          <w:u w:val="none"/>
          <w:lang w:val="en-US" w:eastAsia="zh-CN"/>
        </w:rPr>
        <w:t>。</w:t>
      </w:r>
    </w:p>
    <w:p>
      <w:pPr>
        <w:numPr>
          <w:ilvl w:val="0"/>
          <w:numId w:val="4"/>
        </w:numPr>
        <w:spacing w:line="300" w:lineRule="auto"/>
        <w:ind w:left="540" w:hanging="540"/>
        <w:rPr>
          <w:rFonts w:hint="eastAsia" w:ascii="宋体" w:hAnsi="宋体" w:cs="宋体"/>
          <w:color w:val="000000"/>
        </w:rPr>
      </w:pPr>
      <w:r>
        <w:rPr>
          <w:rFonts w:hint="eastAsia" w:ascii="宋体" w:hAnsi="宋体" w:cs="宋体"/>
        </w:rPr>
        <w:t>投标人应承担投标所涉及的前期工作的一切费用。不管投标结果如何，甲方均不予以承付；</w:t>
      </w:r>
    </w:p>
    <w:p>
      <w:pPr>
        <w:numPr>
          <w:ilvl w:val="0"/>
          <w:numId w:val="4"/>
        </w:numPr>
        <w:spacing w:line="300" w:lineRule="auto"/>
        <w:ind w:left="540" w:hanging="540"/>
        <w:rPr>
          <w:rFonts w:hint="eastAsia" w:ascii="宋体" w:hAnsi="宋体" w:cs="宋体"/>
          <w:color w:val="000000"/>
        </w:rPr>
      </w:pPr>
      <w:r>
        <w:rPr>
          <w:rFonts w:hint="eastAsia" w:ascii="宋体" w:hAnsi="宋体" w:cs="宋体"/>
        </w:rPr>
        <w:t>按甲方要求，各投标方必须统一接受发包方关于工程的解释说明及现场勘查和测量，未参与者均不接受其报价和施工投标；</w:t>
      </w:r>
    </w:p>
    <w:p>
      <w:pPr>
        <w:numPr>
          <w:ilvl w:val="0"/>
          <w:numId w:val="4"/>
        </w:numPr>
        <w:tabs>
          <w:tab w:val="left" w:pos="1680"/>
        </w:tabs>
        <w:spacing w:line="300" w:lineRule="auto"/>
        <w:ind w:left="540" w:hanging="540"/>
        <w:rPr>
          <w:rFonts w:hint="eastAsia" w:ascii="宋体" w:hAnsi="宋体" w:cs="宋体"/>
        </w:rPr>
      </w:pPr>
      <w:r>
        <w:rPr>
          <w:rFonts w:hint="eastAsia" w:ascii="宋体" w:hAnsi="宋体" w:cs="宋体"/>
        </w:rPr>
        <w:t>甲方不提供承包方人员住宿临设场地,承包方要自行解决；</w:t>
      </w:r>
    </w:p>
    <w:p>
      <w:pPr>
        <w:numPr>
          <w:ilvl w:val="0"/>
          <w:numId w:val="4"/>
        </w:numPr>
        <w:tabs>
          <w:tab w:val="left" w:pos="1680"/>
        </w:tabs>
        <w:spacing w:line="300" w:lineRule="auto"/>
        <w:ind w:left="540" w:hanging="540"/>
        <w:rPr>
          <w:rFonts w:hint="eastAsia" w:ascii="宋体" w:hAnsi="宋体" w:cs="宋体"/>
        </w:rPr>
      </w:pPr>
      <w:r>
        <w:rPr>
          <w:rFonts w:hint="eastAsia" w:ascii="宋体" w:hAnsi="宋体" w:cs="宋体"/>
        </w:rPr>
        <w:t>文明、安全施工，保证遵守城市学院限定的施工范围,并保证范围内清洁整齐，予以场地围护,不影响美观，对于未达标者，甲方将采取经济严惩、取消供应商资格等处罚措施；</w:t>
      </w:r>
    </w:p>
    <w:p>
      <w:pPr>
        <w:numPr>
          <w:ilvl w:val="0"/>
          <w:numId w:val="4"/>
        </w:numPr>
        <w:tabs>
          <w:tab w:val="left" w:pos="1680"/>
        </w:tabs>
        <w:spacing w:line="300" w:lineRule="auto"/>
        <w:ind w:left="540" w:hanging="540"/>
        <w:rPr>
          <w:rFonts w:hint="eastAsia" w:ascii="宋体" w:hAnsi="宋体" w:cs="宋体"/>
        </w:rPr>
      </w:pPr>
      <w:r>
        <w:rPr>
          <w:rFonts w:hint="eastAsia" w:ascii="宋体" w:hAnsi="宋体" w:cs="宋体"/>
        </w:rPr>
        <w:t>进入城市学院必须佩带必须统一着装（工衣、工牌等），未按要求佩带者将拒绝入场施工。</w:t>
      </w:r>
    </w:p>
    <w:p>
      <w:pPr>
        <w:numPr>
          <w:ilvl w:val="0"/>
          <w:numId w:val="5"/>
        </w:numPr>
        <w:spacing w:line="300" w:lineRule="auto"/>
        <w:rPr>
          <w:rFonts w:ascii="Arial" w:cs="Arial"/>
          <w:b/>
        </w:rPr>
      </w:pPr>
      <w:r>
        <w:rPr>
          <w:rFonts w:hint="eastAsia" w:ascii="Arial" w:cs="Arial"/>
          <w:b/>
        </w:rPr>
        <w:t>工程内容及要求</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黑体" w:hAnsi="黑体" w:eastAsia="黑体" w:cs="黑体"/>
          <w:b/>
          <w:sz w:val="24"/>
          <w:szCs w:val="24"/>
        </w:rPr>
      </w:pPr>
      <w:r>
        <w:rPr>
          <w:rFonts w:hint="eastAsia" w:ascii="黑体" w:hAnsi="黑体" w:eastAsia="黑体" w:cs="黑体"/>
          <w:sz w:val="24"/>
          <w:szCs w:val="24"/>
          <w:lang w:val="en-US" w:eastAsia="zh-CN"/>
        </w:rPr>
        <w:t>一、</w:t>
      </w:r>
      <w:r>
        <w:rPr>
          <w:rFonts w:hint="eastAsia" w:ascii="黑体" w:hAnsi="黑体" w:eastAsia="黑体" w:cs="黑体"/>
          <w:sz w:val="24"/>
          <w:szCs w:val="24"/>
        </w:rPr>
        <w:t>火灾自动报警系统</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保养内容：</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（1）各信号线路电缆及线路保护管道维护。</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（2）控制器的基本功能试验。包括控制器的开机、液晶和数码管的显示、主备电的工作、显示和切换、声音、打印、时钟、黑匣子记录等。</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（3）检查控制器的点名、报火警、报故障功能。</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（4）探测器的报警试验。包括感烟、感温等所有类型探测器的试验。</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（5）手动报警按钮的报警试验。</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工作计划：</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（1）控制器每月检测一次。</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（2）现场探测器和手动报警按钮每</w:t>
      </w:r>
      <w:r>
        <w:rPr>
          <w:rFonts w:hint="eastAsia" w:ascii="宋体" w:hAnsi="宋体" w:eastAsia="宋体" w:cs="宋体"/>
          <w:sz w:val="24"/>
          <w:szCs w:val="24"/>
          <w:lang w:eastAsia="zh-CN"/>
        </w:rPr>
        <w:t>月</w:t>
      </w:r>
      <w:r>
        <w:rPr>
          <w:rFonts w:hint="eastAsia" w:ascii="宋体" w:hAnsi="宋体" w:eastAsia="宋体" w:cs="宋体"/>
          <w:sz w:val="24"/>
          <w:szCs w:val="24"/>
        </w:rPr>
        <w:t>检测一次，每年的第一次和最后一次全部检测，其余每次抽测总数的10%且不能重复。</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消火栓系统</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保养内容：</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（1）外观检测。检测室内外消火栓给水管道、消防水池/水箱/稳压装置、消火栓水枪及水带、消火栓按钮、消防水泵及各类管网阀门等是否正常。</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（2）消防泵启动功能试验。在泵房控制柜、消防中心、现场消火栓按钮上启动消防泵，查看消防泵启动情况。</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（3）模拟实际喷水试验。接好水枪，做好准备工作，</w:t>
      </w:r>
      <w:r>
        <w:rPr>
          <w:rFonts w:hint="eastAsia" w:ascii="宋体" w:hAnsi="宋体" w:eastAsia="宋体" w:cs="宋体"/>
          <w:sz w:val="24"/>
          <w:szCs w:val="24"/>
          <w:lang w:eastAsia="zh-CN"/>
        </w:rPr>
        <w:t>开启栓阀</w:t>
      </w:r>
      <w:r>
        <w:rPr>
          <w:rFonts w:hint="eastAsia" w:ascii="宋体" w:hAnsi="宋体" w:eastAsia="宋体" w:cs="宋体"/>
          <w:sz w:val="24"/>
          <w:szCs w:val="24"/>
        </w:rPr>
        <w:t>，检查水的压力及查看是否有漏水情况。</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工作计划：</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eastAsia="zh-CN"/>
        </w:rPr>
        <w:t>月</w:t>
      </w:r>
      <w:r>
        <w:rPr>
          <w:rFonts w:hint="eastAsia" w:ascii="宋体" w:hAnsi="宋体" w:eastAsia="宋体" w:cs="宋体"/>
          <w:sz w:val="24"/>
          <w:szCs w:val="24"/>
        </w:rPr>
        <w:t>检测一次。消火栓按钮每年的第一次和最后一次全部检测，其余每次抽测总数的20%且不能重复。</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每年对</w:t>
      </w:r>
      <w:r>
        <w:rPr>
          <w:rFonts w:hint="eastAsia" w:ascii="宋体" w:hAnsi="宋体" w:eastAsia="宋体" w:cs="宋体"/>
          <w:sz w:val="24"/>
          <w:szCs w:val="24"/>
        </w:rPr>
        <w:t>室内外消火栓给水管道</w:t>
      </w:r>
      <w:r>
        <w:rPr>
          <w:rFonts w:hint="eastAsia" w:ascii="宋体" w:hAnsi="宋体" w:eastAsia="宋体" w:cs="宋体"/>
          <w:sz w:val="24"/>
          <w:szCs w:val="24"/>
          <w:lang w:val="en-US" w:eastAsia="zh-CN"/>
        </w:rPr>
        <w:t>外露部分进行刷漆保养维护。</w:t>
      </w:r>
    </w:p>
    <w:p>
      <w:pPr>
        <w:keepNext w:val="0"/>
        <w:keepLines w:val="0"/>
        <w:pageBreakBefore w:val="0"/>
        <w:widowControl/>
        <w:numPr>
          <w:ilvl w:val="0"/>
          <w:numId w:val="0"/>
        </w:numPr>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trike w:val="0"/>
          <w:dstrike w:val="0"/>
          <w:color w:val="auto"/>
          <w:sz w:val="24"/>
          <w:szCs w:val="24"/>
        </w:rPr>
      </w:pPr>
      <w:r>
        <w:rPr>
          <w:rFonts w:hint="eastAsia" w:ascii="宋体" w:hAnsi="宋体" w:eastAsia="宋体" w:cs="宋体"/>
          <w:strike w:val="0"/>
          <w:dstrike w:val="0"/>
          <w:snapToGrid w:val="0"/>
          <w:color w:val="auto"/>
          <w:kern w:val="0"/>
          <w:sz w:val="24"/>
          <w:szCs w:val="24"/>
          <w:lang w:val="en-US" w:eastAsia="zh-CN" w:bidi="ar-SA"/>
        </w:rPr>
        <w:t>三、</w:t>
      </w:r>
      <w:r>
        <w:rPr>
          <w:rFonts w:hint="eastAsia" w:ascii="宋体" w:hAnsi="宋体" w:eastAsia="宋体" w:cs="宋体"/>
          <w:strike w:val="0"/>
          <w:dstrike w:val="0"/>
          <w:color w:val="auto"/>
          <w:sz w:val="24"/>
          <w:szCs w:val="24"/>
        </w:rPr>
        <w:t>自动喷淋系统</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1、保养内容：</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（1）外观检查。检测消防泵房工作环境及喷淋泵、雨淋泵、稳压设备、电源控制柜、湿式报警阀、喷头、水泵接合器、储水设施是否处于完好状态。</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2）功能试验。在控制柜及消防控制中心启动喷淋泵、雨淋泵，同时试验主备泵的切换功能；利用报警阀的放水试验阀试验压力开关、水力警铃的工作情况；利用末端放水装置放水，验证水流指示器、湿式报警阀功能，自动启泵功能。</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2、工作计划：</w:t>
      </w:r>
    </w:p>
    <w:p>
      <w:pPr>
        <w:keepNext w:val="0"/>
        <w:keepLines w:val="0"/>
        <w:pageBreakBefore w:val="0"/>
        <w:widowControl/>
        <w:numPr>
          <w:ilvl w:val="0"/>
          <w:numId w:val="0"/>
        </w:numPr>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每</w:t>
      </w:r>
      <w:r>
        <w:rPr>
          <w:rFonts w:hint="eastAsia" w:ascii="宋体" w:hAnsi="宋体" w:eastAsia="宋体" w:cs="宋体"/>
          <w:strike w:val="0"/>
          <w:dstrike w:val="0"/>
          <w:color w:val="auto"/>
          <w:sz w:val="24"/>
          <w:szCs w:val="24"/>
          <w:lang w:eastAsia="zh-CN"/>
        </w:rPr>
        <w:t>月</w:t>
      </w:r>
      <w:r>
        <w:rPr>
          <w:rFonts w:hint="eastAsia" w:ascii="宋体" w:hAnsi="宋体" w:eastAsia="宋体" w:cs="宋体"/>
          <w:strike w:val="0"/>
          <w:dstrike w:val="0"/>
          <w:color w:val="auto"/>
          <w:sz w:val="24"/>
          <w:szCs w:val="24"/>
        </w:rPr>
        <w:t>一次，末端放水每年的第一次和最后一次全部检测，其余每次抽测总数的20%且不能重复。</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消防广播及消防电话系统</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保养内容：</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（1）检查紧急广播的放音及切换功能。放音包括通过话筒、磁带、CD等方式放音，检查声音的大小。切换功能指每个区是否都能正常切换。</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（2）检查消防电话的通话功能。包括固定电话及电话插孔的检查。</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工作计划：</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eastAsia="zh-CN"/>
        </w:rPr>
        <w:t>月</w:t>
      </w:r>
      <w:r>
        <w:rPr>
          <w:rFonts w:hint="eastAsia" w:ascii="宋体" w:hAnsi="宋体" w:eastAsia="宋体" w:cs="宋体"/>
          <w:sz w:val="24"/>
          <w:szCs w:val="24"/>
        </w:rPr>
        <w:t>一次，每年的第一次和最后一次全部检测，其余每次抽测总数的10%且不能重复。</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防排烟及通风系统</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保养内容</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（1）排烟阀电动及手动的启动。</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（2）排烟机的启动和停动。</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（3）排烟风道的完整性。</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（4）空调、新风机的停动。</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工作计划</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每月一次，排烟阀每年的第一次和最后一次全部检测，其余每次抽测总数的20%且不能重复。</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防火卷帘门</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保养内容</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（1）对消防设施内防火卷帘门、远端控制装置信号反馈线路均</w:t>
      </w:r>
      <w:r>
        <w:rPr>
          <w:rFonts w:hint="eastAsia" w:ascii="宋体" w:hAnsi="宋体" w:eastAsia="宋体" w:cs="宋体"/>
          <w:sz w:val="24"/>
          <w:szCs w:val="24"/>
          <w:lang w:eastAsia="zh-CN"/>
        </w:rPr>
        <w:t>做</w:t>
      </w:r>
      <w:r>
        <w:rPr>
          <w:rFonts w:hint="eastAsia" w:ascii="宋体" w:hAnsi="宋体" w:eastAsia="宋体" w:cs="宋体"/>
          <w:sz w:val="24"/>
          <w:szCs w:val="24"/>
        </w:rPr>
        <w:t>详细的检查试验。</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（2）对报警联动、手动下降启停控制功能、消防中心控制启停及反馈信号功能的检查。</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工作计划</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每月一次，防火卷帘门每年的第一次和最后一次全部检测，其余每次抽测总数的20%且不能重复。</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其它消防有关事项</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其它消防设备及系统</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b/>
          <w:bCs/>
          <w:color w:val="auto"/>
          <w:sz w:val="24"/>
          <w:szCs w:val="24"/>
          <w:lang w:eastAsia="zh-CN"/>
        </w:rPr>
      </w:pPr>
      <w:r>
        <w:rPr>
          <w:rFonts w:hint="eastAsia" w:ascii="宋体" w:hAnsi="宋体" w:eastAsia="宋体" w:cs="宋体"/>
          <w:sz w:val="24"/>
          <w:szCs w:val="24"/>
          <w:lang w:val="en-US" w:eastAsia="zh-CN"/>
        </w:rPr>
        <w:t>（1）完成</w:t>
      </w:r>
      <w:r>
        <w:rPr>
          <w:rFonts w:hint="eastAsia" w:ascii="宋体" w:hAnsi="宋体" w:eastAsia="宋体" w:cs="宋体"/>
          <w:sz w:val="24"/>
          <w:szCs w:val="24"/>
        </w:rPr>
        <w:t>灭火器的日常检查与更换</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确保灭火器状态完好有效</w:t>
      </w:r>
      <w:r>
        <w:rPr>
          <w:rFonts w:hint="eastAsia" w:ascii="宋体" w:hAnsi="宋体" w:eastAsia="宋体" w:cs="宋体"/>
          <w:b/>
          <w:bCs/>
          <w:color w:val="auto"/>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完成</w:t>
      </w:r>
      <w:r>
        <w:rPr>
          <w:rFonts w:hint="eastAsia" w:ascii="宋体" w:hAnsi="宋体" w:eastAsia="宋体" w:cs="宋体"/>
          <w:sz w:val="24"/>
          <w:szCs w:val="24"/>
        </w:rPr>
        <w:t>疏散指示标志与应急灯的检查与更换</w:t>
      </w:r>
      <w:r>
        <w:rPr>
          <w:rFonts w:hint="eastAsia" w:ascii="宋体" w:hAnsi="宋体" w:eastAsia="宋体" w:cs="宋体"/>
          <w:sz w:val="24"/>
          <w:szCs w:val="24"/>
          <w:lang w:eastAsia="zh-CN"/>
        </w:rPr>
        <w:t>，</w:t>
      </w:r>
      <w:r>
        <w:rPr>
          <w:rFonts w:hint="eastAsia" w:ascii="宋体" w:hAnsi="宋体" w:eastAsia="宋体" w:cs="宋体"/>
          <w:sz w:val="24"/>
          <w:szCs w:val="24"/>
        </w:rPr>
        <w:t>其它消防设施的检查与维修。</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2" w:firstLineChars="200"/>
        <w:textAlignment w:val="baseline"/>
        <w:rPr>
          <w:rFonts w:hint="eastAsia" w:ascii="宋体" w:hAnsi="宋体" w:eastAsia="宋体" w:cs="宋体"/>
          <w:strike w:val="0"/>
          <w:dstrike w:val="0"/>
          <w:color w:val="auto"/>
          <w:sz w:val="24"/>
          <w:szCs w:val="24"/>
        </w:rPr>
      </w:pPr>
      <w:r>
        <w:rPr>
          <w:rFonts w:hint="eastAsia" w:ascii="宋体" w:hAnsi="宋体" w:eastAsia="宋体" w:cs="宋体"/>
          <w:b/>
          <w:bCs/>
          <w:strike w:val="0"/>
          <w:dstrike w:val="0"/>
          <w:color w:val="auto"/>
          <w:sz w:val="24"/>
          <w:szCs w:val="24"/>
        </w:rPr>
        <w:t>2</w:t>
      </w:r>
      <w:r>
        <w:rPr>
          <w:rFonts w:hint="eastAsia" w:ascii="宋体" w:hAnsi="宋体" w:eastAsia="宋体" w:cs="宋体"/>
          <w:b/>
          <w:bCs/>
          <w:strike w:val="0"/>
          <w:dstrike w:val="0"/>
          <w:color w:val="auto"/>
          <w:sz w:val="24"/>
          <w:szCs w:val="24"/>
          <w:lang w:val="en-US" w:eastAsia="zh-CN"/>
        </w:rPr>
        <w:t>.</w:t>
      </w:r>
      <w:r>
        <w:rPr>
          <w:rFonts w:hint="eastAsia" w:ascii="宋体" w:hAnsi="宋体" w:eastAsia="宋体" w:cs="宋体"/>
          <w:b/>
          <w:bCs/>
          <w:strike w:val="0"/>
          <w:color w:val="auto"/>
          <w:sz w:val="24"/>
          <w:szCs w:val="24"/>
          <w:lang w:val="en-US" w:eastAsia="zh-CN"/>
        </w:rPr>
        <w:t>社会消防管理应用平台</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b w:val="0"/>
          <w:bCs w:val="0"/>
          <w:strike/>
          <w:dstrike w:val="0"/>
          <w:color w:val="auto"/>
          <w:sz w:val="24"/>
          <w:szCs w:val="24"/>
        </w:rPr>
      </w:pPr>
      <w:r>
        <w:rPr>
          <w:rFonts w:hint="eastAsia" w:ascii="宋体" w:hAnsi="宋体" w:eastAsia="宋体" w:cs="宋体"/>
          <w:b w:val="0"/>
          <w:bCs w:val="0"/>
          <w:color w:val="auto"/>
          <w:sz w:val="24"/>
          <w:szCs w:val="24"/>
          <w:lang w:val="en-US" w:eastAsia="zh-CN"/>
        </w:rPr>
        <w:t>维保单位在该平台上传的报告内容，需经甲方确认后方可上传。</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消防检查及培训演习</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维保单位</w:t>
      </w:r>
      <w:r>
        <w:rPr>
          <w:rFonts w:hint="eastAsia" w:ascii="宋体" w:hAnsi="宋体" w:eastAsia="宋体" w:cs="宋体"/>
          <w:sz w:val="24"/>
          <w:szCs w:val="24"/>
        </w:rPr>
        <w:t>协助</w:t>
      </w:r>
      <w:r>
        <w:rPr>
          <w:rFonts w:hint="eastAsia" w:ascii="宋体" w:hAnsi="宋体" w:eastAsia="宋体" w:cs="宋体"/>
          <w:sz w:val="24"/>
          <w:szCs w:val="24"/>
          <w:lang w:val="en-US" w:eastAsia="zh-CN"/>
        </w:rPr>
        <w:t>甲方</w:t>
      </w:r>
      <w:r>
        <w:rPr>
          <w:rFonts w:hint="eastAsia" w:ascii="宋体" w:hAnsi="宋体" w:eastAsia="宋体" w:cs="宋体"/>
          <w:sz w:val="24"/>
          <w:szCs w:val="24"/>
        </w:rPr>
        <w:t>完成省教育厅、消防支队等各级部门的检查；每半年对</w:t>
      </w:r>
      <w:r>
        <w:rPr>
          <w:rFonts w:hint="eastAsia" w:ascii="宋体" w:hAnsi="宋体" w:eastAsia="宋体" w:cs="宋体"/>
          <w:sz w:val="24"/>
          <w:szCs w:val="24"/>
          <w:lang w:val="en-US" w:eastAsia="zh-CN"/>
        </w:rPr>
        <w:t>甲方</w:t>
      </w:r>
      <w:r>
        <w:rPr>
          <w:rFonts w:hint="eastAsia" w:ascii="宋体" w:hAnsi="宋体" w:eastAsia="宋体" w:cs="宋体"/>
          <w:sz w:val="24"/>
          <w:szCs w:val="24"/>
        </w:rPr>
        <w:t>员工进行消防培训一次，协助</w:t>
      </w:r>
      <w:r>
        <w:rPr>
          <w:rFonts w:hint="eastAsia" w:ascii="宋体" w:hAnsi="宋体" w:eastAsia="宋体" w:cs="宋体"/>
          <w:sz w:val="24"/>
          <w:szCs w:val="24"/>
          <w:lang w:eastAsia="zh-CN"/>
        </w:rPr>
        <w:t>甲方</w:t>
      </w:r>
      <w:r>
        <w:rPr>
          <w:rFonts w:hint="eastAsia" w:ascii="宋体" w:hAnsi="宋体" w:eastAsia="宋体" w:cs="宋体"/>
          <w:sz w:val="24"/>
          <w:szCs w:val="24"/>
        </w:rPr>
        <w:t>组织消防演习。</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w:t>
      </w:r>
      <w:r>
        <w:rPr>
          <w:rFonts w:hint="eastAsia" w:ascii="宋体" w:hAnsi="宋体" w:eastAsia="宋体" w:cs="宋体"/>
          <w:sz w:val="24"/>
          <w:szCs w:val="24"/>
        </w:rPr>
        <w:t>乙方的具体保养计划，每月的工作安排，参照以下消防维保技术方案</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（一）主机系统的测试及标准</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硬件设备的测试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标准功能的测试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（1）各类探测器火灾报警的测试。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加烟、加温试验，确认报警信号及显示部位正常。</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（2）各类探测器故障报警的测试。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摘下探测器，确认故障报警信号及显示部位正常</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（3）防/排烟风机启动、停动反馈信息的测试。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（4）防/排烟风阀</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反馈信息的测试。模拟火警信号或手动打开正压送风口或排烟口，检查正压送风机及排烟风机应联动</w:t>
      </w:r>
      <w:r>
        <w:rPr>
          <w:rFonts w:hint="eastAsia" w:ascii="宋体" w:hAnsi="宋体" w:eastAsia="宋体" w:cs="宋体"/>
          <w:sz w:val="24"/>
          <w:szCs w:val="24"/>
          <w:lang w:eastAsia="zh-CN"/>
        </w:rPr>
        <w:t>启动</w:t>
      </w:r>
      <w:r>
        <w:rPr>
          <w:rFonts w:hint="eastAsia" w:ascii="宋体" w:hAnsi="宋体" w:eastAsia="宋体" w:cs="宋体"/>
          <w:sz w:val="24"/>
          <w:szCs w:val="24"/>
        </w:rPr>
        <w:t>，确认反馈信号显示正常。</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（5）消防泵反馈信息的测试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按下消火栓起泵按钮，</w:t>
      </w:r>
      <w:r>
        <w:rPr>
          <w:rFonts w:hint="eastAsia" w:ascii="宋体" w:hAnsi="宋体" w:eastAsia="宋体" w:cs="宋体"/>
          <w:sz w:val="24"/>
          <w:szCs w:val="24"/>
          <w:lang w:eastAsia="zh-CN"/>
        </w:rPr>
        <w:t>启</w:t>
      </w:r>
      <w:r>
        <w:rPr>
          <w:rFonts w:hint="eastAsia" w:ascii="宋体" w:hAnsi="宋体" w:eastAsia="宋体" w:cs="宋体"/>
          <w:sz w:val="24"/>
          <w:szCs w:val="24"/>
        </w:rPr>
        <w:t>动消防水泵，确认启动及反馈信号显示正常。</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（6）喷淋泵反馈信息的测试。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（7）湿式报警阀反馈信息的测试。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（8）水流指示器反馈信息的测试。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注：（7）--（9）项检测：对系统的末端放水，观测湿式报警阀、水流指示器、压力开关的报警反馈信号并自动启动喷水泵，确认</w:t>
      </w:r>
      <w:r>
        <w:rPr>
          <w:rFonts w:hint="eastAsia" w:ascii="宋体" w:hAnsi="宋体" w:eastAsia="宋体" w:cs="宋体"/>
          <w:sz w:val="24"/>
          <w:szCs w:val="24"/>
          <w:lang w:eastAsia="zh-CN"/>
        </w:rPr>
        <w:t>启动</w:t>
      </w:r>
      <w:r>
        <w:rPr>
          <w:rFonts w:hint="eastAsia" w:ascii="宋体" w:hAnsi="宋体" w:eastAsia="宋体" w:cs="宋体"/>
          <w:sz w:val="24"/>
          <w:szCs w:val="24"/>
        </w:rPr>
        <w:t>泵的反馈信号显示正常。</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（9）强切非消防电源反馈信息的测试。切断非消防电源，现场确认。</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（10）其它联动设备的测试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检查启动情况及反馈情况。</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（11）防/排烟风机的自动控制。</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（12）防/排烟阀的自动控制。</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向探测器加烟、加温试验，确认防/排烟阀、风机动作正常。</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（13）消防泵的自动控制。</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按下消火栓起泵按钮，</w:t>
      </w:r>
      <w:r>
        <w:rPr>
          <w:rFonts w:hint="eastAsia" w:ascii="宋体" w:hAnsi="宋体" w:eastAsia="宋体" w:cs="宋体"/>
          <w:sz w:val="24"/>
          <w:szCs w:val="24"/>
          <w:lang w:eastAsia="zh-CN"/>
        </w:rPr>
        <w:t>启</w:t>
      </w:r>
      <w:r>
        <w:rPr>
          <w:rFonts w:hint="eastAsia" w:ascii="宋体" w:hAnsi="宋体" w:eastAsia="宋体" w:cs="宋体"/>
          <w:sz w:val="24"/>
          <w:szCs w:val="24"/>
        </w:rPr>
        <w:t>动消防水泵，确认报警信号显示正常。</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（14）喷淋泵的自动控制。</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采用末端放水的方法</w:t>
      </w:r>
      <w:r>
        <w:rPr>
          <w:rFonts w:hint="eastAsia" w:ascii="宋体" w:hAnsi="宋体" w:eastAsia="宋体" w:cs="宋体"/>
          <w:sz w:val="24"/>
          <w:szCs w:val="24"/>
          <w:lang w:eastAsia="zh-CN"/>
        </w:rPr>
        <w:t>启</w:t>
      </w:r>
      <w:r>
        <w:rPr>
          <w:rFonts w:hint="eastAsia" w:ascii="宋体" w:hAnsi="宋体" w:eastAsia="宋体" w:cs="宋体"/>
          <w:sz w:val="24"/>
          <w:szCs w:val="24"/>
        </w:rPr>
        <w:t>动喷淋泵，确认报警信号显示正常。</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（15）强切非消防电源的自动控制</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向联动模块发信号，确认相应区域切电正常。</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（16）紧急广播的自动控制</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向探测器加烟、加温试验，确认能在控制室进行选层广播，共用的扬声器进行强行切换；并进行备用扩音机切换功能试验。</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（17）备用电源的自动投入</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切断主电源，确认备用电源能自动投入使用，备电显示灯亮。</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（18）系统故障的自动报警</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人为短路信号线或拆除电源线，确认故障报警信号正常。</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（19）各种信息的自动记录</w:t>
      </w:r>
      <w:r>
        <w:rPr>
          <w:rFonts w:hint="eastAsia" w:ascii="宋体" w:hAnsi="宋体" w:eastAsia="宋体" w:cs="宋体"/>
          <w:sz w:val="24"/>
          <w:szCs w:val="24"/>
          <w:lang w:eastAsia="zh-CN"/>
        </w:rPr>
        <w:t>，</w:t>
      </w:r>
      <w:r>
        <w:rPr>
          <w:rFonts w:hint="eastAsia" w:ascii="宋体" w:hAnsi="宋体" w:eastAsia="宋体" w:cs="宋体"/>
          <w:sz w:val="24"/>
          <w:szCs w:val="24"/>
        </w:rPr>
        <w:t>检查打印机的记录结果。</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主机软件的维护</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（1）探测器地址的检测</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（2）探测器的增减</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（3）相关设备的定义信息</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（4）联动关系的检测</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当客户区进行装修改造时及时修改探测器地址码及相应联动关系，并做模拟试验。</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（二）控制器资料信息的检测</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标准功能的检测</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1、火灾报警点及报警时间的文字表达</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2、火灾报警信息的历史记录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3、相关联动设备及动作时间的文字表达</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4、联动设备及动作信息的记录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5、各类探测器故障的时间及文字表达</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6、各类探测器故障的记录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7、与主机的双向通讯</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（三）各类设备的测试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各类探测器的测试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（1）智能型感烟探测器</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（2）智能型感温探测器</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（3）手动报警按钮</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各类模块的测试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（1）输入模块的测试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（2）输入/输出模块的测试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（四）消防设备联动控制台的检查</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消防设备联动控制台之各项控制功能检测</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（1）消防泵的远程手动控制</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（2）喷淋泵的远程手动控制</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）排烟风机的远程手动控制</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）紧急广播的测试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由消防中心控制台操作各联动设备的</w:t>
      </w:r>
      <w:r>
        <w:rPr>
          <w:rFonts w:hint="eastAsia" w:ascii="宋体" w:hAnsi="宋体" w:eastAsia="宋体" w:cs="宋体"/>
          <w:sz w:val="24"/>
          <w:szCs w:val="24"/>
          <w:lang w:eastAsia="zh-CN"/>
        </w:rPr>
        <w:t>启动</w:t>
      </w:r>
      <w:r>
        <w:rPr>
          <w:rFonts w:hint="eastAsia" w:ascii="宋体" w:hAnsi="宋体" w:eastAsia="宋体" w:cs="宋体"/>
          <w:sz w:val="24"/>
          <w:szCs w:val="24"/>
        </w:rPr>
        <w:t>按钮，确认状态指示灯显示正常，并收到其反馈信号。</w:t>
      </w:r>
    </w:p>
    <w:p>
      <w:pPr>
        <w:pStyle w:val="21"/>
        <w:keepNext w:val="0"/>
        <w:keepLines w:val="0"/>
        <w:pageBreakBefore w:val="0"/>
        <w:widowControl/>
        <w:numPr>
          <w:ilvl w:val="0"/>
          <w:numId w:val="0"/>
        </w:numPr>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2</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z w:val="24"/>
          <w:szCs w:val="24"/>
        </w:rPr>
        <w:t>消防设备联动控制台硬件设备的检测</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（1）电源的检测</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（2）各指示灯/蜂鸣器/控制开关的检测</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（3）各模块的检测</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（4）各接线端子的检查</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检查各个控制</w:t>
      </w:r>
      <w:r>
        <w:rPr>
          <w:rFonts w:hint="eastAsia" w:ascii="宋体" w:hAnsi="宋体" w:eastAsia="宋体" w:cs="宋体"/>
          <w:sz w:val="24"/>
          <w:szCs w:val="24"/>
          <w:lang w:eastAsia="zh-CN"/>
        </w:rPr>
        <w:t>按钮</w:t>
      </w:r>
      <w:r>
        <w:rPr>
          <w:rFonts w:hint="eastAsia" w:ascii="宋体" w:hAnsi="宋体" w:eastAsia="宋体" w:cs="宋体"/>
          <w:sz w:val="24"/>
          <w:szCs w:val="24"/>
        </w:rPr>
        <w:t>操作灵活，指示灯亮度正常，各接线端子无松动，各模块输出正常。</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（五）维修保养步骤</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首先对系统线路进行检修，核对地址码，排除线路故障，对有问题的探测器，</w:t>
      </w:r>
      <w:r>
        <w:rPr>
          <w:rFonts w:hint="eastAsia" w:ascii="宋体" w:hAnsi="宋体" w:eastAsia="宋体" w:cs="宋体"/>
          <w:sz w:val="24"/>
          <w:szCs w:val="24"/>
          <w:lang w:eastAsia="zh-CN"/>
        </w:rPr>
        <w:t>手动报警按钮</w:t>
      </w:r>
      <w:r>
        <w:rPr>
          <w:rFonts w:hint="eastAsia" w:ascii="宋体" w:hAnsi="宋体" w:eastAsia="宋体" w:cs="宋体"/>
          <w:sz w:val="24"/>
          <w:szCs w:val="24"/>
        </w:rPr>
        <w:t>及模块进行更换，对主机的问题进行维修，对相应的软件程序进行更改。</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每月定期巡查一次（按协议），测试内容如下：</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分批试验探测器的动作及确认灯显示。</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人工加烟、加温，按系统点位的10%抽检（按协议）。</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试验火灾报警控制器装置：</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火灾报警控制器外观检查；</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火灾报警自动试验功能；</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火灾模拟试验（报警及声光信号）；</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消音、复位功能检查；</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故障报警功能检查（报警及声光信号）；</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报警记忆功能检查（记忆和打印）</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电源自动转换和备用电源的自动充电功能检查</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试验水流指示器、压力开关等报警功能。</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采用末端放水的方法，检测水流指示器、压力开关的动作信号是否被主机接收到，并</w:t>
      </w:r>
      <w:r>
        <w:rPr>
          <w:rFonts w:hint="eastAsia" w:ascii="宋体" w:hAnsi="宋体" w:eastAsia="宋体" w:cs="宋体"/>
          <w:sz w:val="24"/>
          <w:szCs w:val="24"/>
          <w:lang w:eastAsia="zh-CN"/>
        </w:rPr>
        <w:t>启动</w:t>
      </w:r>
      <w:r>
        <w:rPr>
          <w:rFonts w:hint="eastAsia" w:ascii="宋体" w:hAnsi="宋体" w:eastAsia="宋体" w:cs="宋体"/>
          <w:sz w:val="24"/>
          <w:szCs w:val="24"/>
        </w:rPr>
        <w:t>消防水泵。按下消火栓起泵按钮，启动消防水泵，检测报警信号是否被主机接收到。每</w:t>
      </w:r>
      <w:r>
        <w:rPr>
          <w:rFonts w:hint="eastAsia" w:ascii="宋体" w:hAnsi="宋体" w:eastAsia="宋体" w:cs="宋体"/>
          <w:sz w:val="24"/>
          <w:szCs w:val="24"/>
          <w:lang w:eastAsia="zh-CN"/>
        </w:rPr>
        <w:t>月</w:t>
      </w:r>
      <w:r>
        <w:rPr>
          <w:rFonts w:hint="eastAsia" w:ascii="宋体" w:hAnsi="宋体" w:eastAsia="宋体" w:cs="宋体"/>
          <w:sz w:val="24"/>
          <w:szCs w:val="24"/>
        </w:rPr>
        <w:t>启动消防水泵一次，并进行主、备切换运行试验。</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对备用电源进行充放电试验，进行主电源和备用自动切换试验。</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用自动或手动检查下列消防控制设备的控制显示功能：</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防排烟设备、电动防火阀模拟火警信号或手动打开排烟口，检查排烟风机应联动</w:t>
      </w:r>
      <w:r>
        <w:rPr>
          <w:rFonts w:hint="eastAsia" w:ascii="宋体" w:hAnsi="宋体" w:eastAsia="宋体" w:cs="宋体"/>
          <w:sz w:val="24"/>
          <w:szCs w:val="24"/>
          <w:lang w:eastAsia="zh-CN"/>
        </w:rPr>
        <w:t>启动</w:t>
      </w:r>
      <w:r>
        <w:rPr>
          <w:rFonts w:hint="eastAsia" w:ascii="宋体" w:hAnsi="宋体" w:eastAsia="宋体" w:cs="宋体"/>
          <w:sz w:val="24"/>
          <w:szCs w:val="24"/>
        </w:rPr>
        <w:t>，并确认主机收到其反馈信号。</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强制切断非消防电源功能试验。</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由消防中心发码至各强电配电室联动模块，试验切电功能</w:t>
      </w:r>
      <w:r>
        <w:rPr>
          <w:rFonts w:hint="eastAsia" w:ascii="宋体" w:hAnsi="宋体" w:eastAsia="宋体" w:cs="宋体"/>
          <w:sz w:val="24"/>
          <w:szCs w:val="24"/>
          <w:lang w:eastAsia="zh-CN"/>
        </w:rPr>
        <w:t>。</w:t>
      </w:r>
      <w:r>
        <w:rPr>
          <w:rFonts w:hint="eastAsia" w:ascii="宋体" w:hAnsi="宋体" w:eastAsia="宋体" w:cs="宋体"/>
          <w:sz w:val="24"/>
          <w:szCs w:val="24"/>
        </w:rPr>
        <w:t>在每月进行回访，进行一般性的常规检查。具体内容如下：</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检查报警主机工作状态。</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检查联动控制台的工作状态。</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了解消防系统的工作状况及业主的要求。</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备注：巡检周期及每次测试百分比按协议规定，一般每年6--8次，第一次和最后一次全检，其余每次测10%且不能重复。</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（六）维修保养基本要求</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2"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ascii="宋体" w:hAnsi="宋体" w:eastAsia="宋体" w:cs="宋体"/>
          <w:b w:val="0"/>
          <w:bCs w:val="0"/>
          <w:color w:val="auto"/>
          <w:spacing w:val="15"/>
          <w:sz w:val="24"/>
          <w:szCs w:val="24"/>
        </w:rPr>
        <w:t>乙方</w:t>
      </w:r>
      <w:r>
        <w:rPr>
          <w:rFonts w:hint="eastAsia" w:ascii="宋体" w:hAnsi="宋体" w:eastAsia="宋体" w:cs="宋体"/>
          <w:b w:val="0"/>
          <w:bCs w:val="0"/>
          <w:strike w:val="0"/>
          <w:dstrike w:val="0"/>
          <w:color w:val="auto"/>
          <w:spacing w:val="15"/>
          <w:sz w:val="24"/>
          <w:szCs w:val="24"/>
          <w:lang w:val="en-US" w:eastAsia="zh-CN"/>
        </w:rPr>
        <w:t>须</w:t>
      </w:r>
      <w:r>
        <w:rPr>
          <w:rFonts w:hint="eastAsia" w:ascii="宋体" w:hAnsi="宋体" w:eastAsia="宋体" w:cs="宋体"/>
          <w:b w:val="0"/>
          <w:bCs w:val="0"/>
          <w:color w:val="auto"/>
          <w:spacing w:val="15"/>
          <w:sz w:val="24"/>
          <w:szCs w:val="24"/>
        </w:rPr>
        <w:t>安排</w:t>
      </w:r>
      <w:r>
        <w:rPr>
          <w:rFonts w:hint="eastAsia" w:ascii="宋体" w:hAnsi="宋体" w:eastAsia="宋体" w:cs="宋体"/>
          <w:b w:val="0"/>
          <w:bCs w:val="0"/>
          <w:color w:val="auto"/>
          <w:spacing w:val="15"/>
          <w:sz w:val="24"/>
          <w:szCs w:val="24"/>
          <w:u w:val="single"/>
          <w:lang w:val="en-US" w:eastAsia="zh-CN"/>
        </w:rPr>
        <w:t>1</w:t>
      </w:r>
      <w:r>
        <w:rPr>
          <w:rFonts w:hint="eastAsia" w:ascii="宋体" w:hAnsi="宋体" w:eastAsia="宋体" w:cs="宋体"/>
          <w:b w:val="0"/>
          <w:bCs w:val="0"/>
          <w:color w:val="auto"/>
          <w:spacing w:val="15"/>
          <w:sz w:val="24"/>
          <w:szCs w:val="24"/>
        </w:rPr>
        <w:t>名获</w:t>
      </w:r>
      <w:r>
        <w:rPr>
          <w:rFonts w:hint="eastAsia" w:ascii="宋体" w:hAnsi="宋体" w:eastAsia="宋体" w:cs="宋体"/>
          <w:b w:val="0"/>
          <w:bCs w:val="0"/>
          <w:color w:val="auto"/>
          <w:spacing w:val="15"/>
          <w:sz w:val="24"/>
          <w:szCs w:val="24"/>
          <w:lang w:val="en-US" w:eastAsia="zh-CN"/>
        </w:rPr>
        <w:t>取</w:t>
      </w:r>
      <w:r>
        <w:rPr>
          <w:rFonts w:hint="eastAsia" w:ascii="宋体" w:hAnsi="宋体" w:eastAsia="宋体" w:cs="宋体"/>
          <w:b w:val="0"/>
          <w:bCs w:val="0"/>
          <w:color w:val="auto"/>
          <w:spacing w:val="15"/>
          <w:sz w:val="24"/>
          <w:szCs w:val="24"/>
        </w:rPr>
        <w:t>中级</w:t>
      </w:r>
      <w:r>
        <w:rPr>
          <w:rFonts w:hint="eastAsia" w:ascii="宋体" w:hAnsi="宋体" w:eastAsia="宋体" w:cs="宋体"/>
          <w:b w:val="0"/>
          <w:bCs w:val="0"/>
          <w:color w:val="auto"/>
          <w:spacing w:val="15"/>
          <w:sz w:val="24"/>
          <w:szCs w:val="24"/>
          <w:lang w:val="en-US" w:eastAsia="zh-CN"/>
        </w:rPr>
        <w:t>消防设施操作员职业资格</w:t>
      </w:r>
      <w:r>
        <w:rPr>
          <w:rFonts w:hint="eastAsia" w:ascii="宋体" w:hAnsi="宋体" w:eastAsia="宋体" w:cs="宋体"/>
          <w:b w:val="0"/>
          <w:bCs w:val="0"/>
          <w:color w:val="auto"/>
          <w:spacing w:val="15"/>
          <w:sz w:val="24"/>
          <w:szCs w:val="24"/>
        </w:rPr>
        <w:t>证书</w:t>
      </w:r>
      <w:r>
        <w:rPr>
          <w:rFonts w:hint="eastAsia" w:ascii="宋体" w:hAnsi="宋体" w:eastAsia="宋体" w:cs="宋体"/>
          <w:b w:val="0"/>
          <w:bCs w:val="0"/>
          <w:color w:val="auto"/>
          <w:spacing w:val="15"/>
          <w:sz w:val="24"/>
          <w:szCs w:val="24"/>
          <w:lang w:eastAsia="zh-CN"/>
        </w:rPr>
        <w:t>（</w:t>
      </w:r>
      <w:r>
        <w:rPr>
          <w:rFonts w:hint="eastAsia" w:ascii="宋体" w:hAnsi="宋体" w:eastAsia="宋体" w:cs="宋体"/>
          <w:b w:val="0"/>
          <w:bCs w:val="0"/>
          <w:color w:val="auto"/>
          <w:spacing w:val="15"/>
          <w:sz w:val="24"/>
          <w:szCs w:val="24"/>
          <w:lang w:val="en-US" w:eastAsia="zh-CN"/>
        </w:rPr>
        <w:t>维保方向或者双方向</w:t>
      </w:r>
      <w:r>
        <w:rPr>
          <w:rFonts w:hint="eastAsia" w:ascii="宋体" w:hAnsi="宋体" w:eastAsia="宋体" w:cs="宋体"/>
          <w:b w:val="0"/>
          <w:bCs w:val="0"/>
          <w:color w:val="auto"/>
          <w:spacing w:val="15"/>
          <w:sz w:val="24"/>
          <w:szCs w:val="24"/>
          <w:lang w:eastAsia="zh-CN"/>
        </w:rPr>
        <w:t>），</w:t>
      </w:r>
      <w:r>
        <w:rPr>
          <w:rFonts w:hint="eastAsia" w:ascii="宋体" w:hAnsi="宋体" w:eastAsia="宋体" w:cs="宋体"/>
          <w:b w:val="0"/>
          <w:bCs w:val="0"/>
          <w:color w:val="auto"/>
          <w:spacing w:val="15"/>
          <w:sz w:val="24"/>
          <w:szCs w:val="24"/>
          <w:lang w:val="en-US" w:eastAsia="zh-CN"/>
        </w:rPr>
        <w:t>能</w:t>
      </w:r>
      <w:r>
        <w:rPr>
          <w:rFonts w:hint="eastAsia" w:ascii="宋体" w:hAnsi="宋体" w:eastAsia="宋体" w:cs="宋体"/>
          <w:b w:val="0"/>
          <w:bCs w:val="0"/>
          <w:color w:val="auto"/>
          <w:spacing w:val="11"/>
          <w:sz w:val="24"/>
          <w:szCs w:val="24"/>
        </w:rPr>
        <w:t>独立进行消防维修保养工作</w:t>
      </w:r>
      <w:r>
        <w:rPr>
          <w:rFonts w:hint="eastAsia" w:ascii="宋体" w:hAnsi="宋体" w:eastAsia="宋体" w:cs="宋体"/>
          <w:b w:val="0"/>
          <w:bCs w:val="0"/>
          <w:color w:val="auto"/>
          <w:spacing w:val="11"/>
          <w:sz w:val="24"/>
          <w:szCs w:val="24"/>
          <w:lang w:val="en-US" w:eastAsia="zh-CN"/>
        </w:rPr>
        <w:t>的固定</w:t>
      </w:r>
      <w:r>
        <w:rPr>
          <w:rFonts w:hint="eastAsia" w:ascii="宋体" w:hAnsi="宋体" w:eastAsia="宋体" w:cs="宋体"/>
          <w:b w:val="0"/>
          <w:bCs w:val="0"/>
          <w:color w:val="auto"/>
          <w:spacing w:val="11"/>
          <w:sz w:val="24"/>
          <w:szCs w:val="24"/>
        </w:rPr>
        <w:t>人员</w:t>
      </w:r>
      <w:r>
        <w:rPr>
          <w:rFonts w:hint="eastAsia" w:ascii="宋体" w:hAnsi="宋体" w:eastAsia="宋体" w:cs="宋体"/>
          <w:b w:val="0"/>
          <w:bCs w:val="0"/>
          <w:color w:val="auto"/>
          <w:spacing w:val="11"/>
          <w:sz w:val="24"/>
          <w:szCs w:val="24"/>
          <w:lang w:val="en-US" w:eastAsia="zh-CN"/>
        </w:rPr>
        <w:t>并长期</w:t>
      </w:r>
      <w:r>
        <w:rPr>
          <w:rFonts w:hint="eastAsia" w:ascii="宋体" w:hAnsi="宋体" w:eastAsia="宋体" w:cs="宋体"/>
          <w:b w:val="0"/>
          <w:bCs w:val="0"/>
          <w:color w:val="auto"/>
          <w:spacing w:val="11"/>
          <w:sz w:val="24"/>
          <w:szCs w:val="24"/>
        </w:rPr>
        <w:t>驻守学校应急</w:t>
      </w:r>
      <w:r>
        <w:rPr>
          <w:rFonts w:hint="eastAsia" w:ascii="宋体" w:hAnsi="宋体" w:eastAsia="宋体" w:cs="宋体"/>
          <w:b w:val="0"/>
          <w:bCs w:val="0"/>
          <w:color w:val="auto"/>
          <w:spacing w:val="10"/>
          <w:sz w:val="24"/>
          <w:szCs w:val="24"/>
        </w:rPr>
        <w:t>备勤</w:t>
      </w:r>
      <w:r>
        <w:rPr>
          <w:rFonts w:hint="eastAsia" w:ascii="宋体" w:hAnsi="宋体" w:eastAsia="宋体" w:cs="宋体"/>
          <w:b w:val="0"/>
          <w:bCs w:val="0"/>
          <w:color w:val="auto"/>
          <w:spacing w:val="10"/>
          <w:sz w:val="24"/>
          <w:szCs w:val="24"/>
          <w:lang w:eastAsia="zh-CN"/>
        </w:rPr>
        <w:t>。</w:t>
      </w:r>
      <w:r>
        <w:rPr>
          <w:rFonts w:hint="eastAsia" w:ascii="宋体" w:hAnsi="宋体" w:eastAsia="宋体" w:cs="宋体"/>
          <w:b w:val="0"/>
          <w:bCs w:val="0"/>
          <w:color w:val="auto"/>
          <w:spacing w:val="10"/>
          <w:sz w:val="24"/>
          <w:szCs w:val="24"/>
        </w:rPr>
        <w:t>驻守人员食宿费用由乙方自行解决，驻守人员24小时待命，</w:t>
      </w:r>
      <w:r>
        <w:rPr>
          <w:rFonts w:hint="eastAsia" w:ascii="宋体" w:hAnsi="宋体" w:eastAsia="宋体" w:cs="宋体"/>
          <w:b w:val="0"/>
          <w:bCs w:val="0"/>
          <w:color w:val="auto"/>
          <w:spacing w:val="6"/>
          <w:sz w:val="24"/>
          <w:szCs w:val="24"/>
        </w:rPr>
        <w:t>如乙方驻守人员</w:t>
      </w:r>
      <w:r>
        <w:rPr>
          <w:rFonts w:hint="eastAsia" w:ascii="宋体" w:hAnsi="宋体" w:eastAsia="宋体" w:cs="宋体"/>
          <w:b w:val="0"/>
          <w:bCs w:val="0"/>
          <w:color w:val="auto"/>
          <w:spacing w:val="6"/>
          <w:sz w:val="24"/>
          <w:szCs w:val="24"/>
          <w:lang w:val="en-US" w:eastAsia="zh-CN"/>
        </w:rPr>
        <w:t>休假</w:t>
      </w:r>
      <w:r>
        <w:rPr>
          <w:rFonts w:hint="eastAsia" w:ascii="宋体" w:hAnsi="宋体" w:eastAsia="宋体" w:cs="宋体"/>
          <w:b w:val="0"/>
          <w:bCs w:val="0"/>
          <w:color w:val="auto"/>
          <w:spacing w:val="6"/>
          <w:sz w:val="24"/>
          <w:szCs w:val="24"/>
          <w:lang w:eastAsia="zh-CN"/>
        </w:rPr>
        <w:t>（</w:t>
      </w:r>
      <w:r>
        <w:rPr>
          <w:rFonts w:hint="eastAsia" w:ascii="宋体" w:hAnsi="宋体" w:eastAsia="宋体" w:cs="宋体"/>
          <w:b w:val="0"/>
          <w:bCs w:val="0"/>
          <w:color w:val="auto"/>
          <w:spacing w:val="6"/>
          <w:sz w:val="24"/>
          <w:szCs w:val="24"/>
        </w:rPr>
        <w:t>请假</w:t>
      </w:r>
      <w:r>
        <w:rPr>
          <w:rFonts w:hint="eastAsia" w:ascii="宋体" w:hAnsi="宋体" w:eastAsia="宋体" w:cs="宋体"/>
          <w:b w:val="0"/>
          <w:bCs w:val="0"/>
          <w:color w:val="auto"/>
          <w:spacing w:val="6"/>
          <w:sz w:val="24"/>
          <w:szCs w:val="24"/>
          <w:lang w:eastAsia="zh-CN"/>
        </w:rPr>
        <w:t>、</w:t>
      </w:r>
      <w:r>
        <w:rPr>
          <w:rFonts w:hint="eastAsia" w:ascii="宋体" w:hAnsi="宋体" w:eastAsia="宋体" w:cs="宋体"/>
          <w:b w:val="0"/>
          <w:bCs w:val="0"/>
          <w:color w:val="auto"/>
          <w:spacing w:val="6"/>
          <w:sz w:val="24"/>
          <w:szCs w:val="24"/>
          <w:lang w:val="en-US" w:eastAsia="zh-CN"/>
        </w:rPr>
        <w:t>节假日等</w:t>
      </w:r>
      <w:r>
        <w:rPr>
          <w:rFonts w:hint="eastAsia" w:ascii="宋体" w:hAnsi="宋体" w:eastAsia="宋体" w:cs="宋体"/>
          <w:b w:val="0"/>
          <w:bCs w:val="0"/>
          <w:color w:val="auto"/>
          <w:spacing w:val="6"/>
          <w:sz w:val="24"/>
          <w:szCs w:val="24"/>
          <w:lang w:eastAsia="zh-CN"/>
        </w:rPr>
        <w:t>）</w:t>
      </w:r>
      <w:r>
        <w:rPr>
          <w:rFonts w:hint="eastAsia" w:ascii="宋体" w:hAnsi="宋体" w:eastAsia="宋体" w:cs="宋体"/>
          <w:b w:val="0"/>
          <w:bCs w:val="0"/>
          <w:color w:val="auto"/>
          <w:spacing w:val="6"/>
          <w:sz w:val="24"/>
          <w:szCs w:val="24"/>
        </w:rPr>
        <w:t>超过一天，需提前与甲方沟通并临时安排人员</w:t>
      </w:r>
      <w:r>
        <w:rPr>
          <w:rFonts w:hint="eastAsia" w:ascii="宋体" w:hAnsi="宋体" w:eastAsia="宋体" w:cs="宋体"/>
          <w:b w:val="0"/>
          <w:bCs w:val="0"/>
          <w:color w:val="auto"/>
          <w:spacing w:val="12"/>
          <w:sz w:val="24"/>
          <w:szCs w:val="24"/>
        </w:rPr>
        <w:t>顶岗值班。接受学校及乙方单位的双重管理，综合联动测试时，配</w:t>
      </w:r>
      <w:r>
        <w:rPr>
          <w:rFonts w:hint="eastAsia" w:ascii="宋体" w:hAnsi="宋体" w:eastAsia="宋体" w:cs="宋体"/>
          <w:b w:val="0"/>
          <w:bCs w:val="0"/>
          <w:color w:val="auto"/>
          <w:spacing w:val="-10"/>
          <w:sz w:val="24"/>
          <w:szCs w:val="24"/>
        </w:rPr>
        <w:t>备不少于</w:t>
      </w:r>
      <w:r>
        <w:rPr>
          <w:rFonts w:hint="eastAsia" w:ascii="宋体" w:hAnsi="宋体" w:eastAsia="宋体" w:cs="宋体"/>
          <w:b w:val="0"/>
          <w:bCs w:val="0"/>
          <w:color w:val="auto"/>
          <w:spacing w:val="-10"/>
          <w:sz w:val="24"/>
          <w:szCs w:val="24"/>
          <w:u w:val="single" w:color="auto"/>
          <w:lang w:val="en-US" w:eastAsia="zh-CN"/>
        </w:rPr>
        <w:t>5</w:t>
      </w:r>
      <w:r>
        <w:rPr>
          <w:rFonts w:hint="eastAsia" w:ascii="宋体" w:hAnsi="宋体" w:eastAsia="宋体" w:cs="宋体"/>
          <w:b w:val="0"/>
          <w:bCs w:val="0"/>
          <w:color w:val="auto"/>
          <w:spacing w:val="-10"/>
          <w:sz w:val="24"/>
          <w:szCs w:val="24"/>
        </w:rPr>
        <w:t>名技术人员。</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①</w:t>
      </w:r>
      <w:r>
        <w:rPr>
          <w:rFonts w:hint="eastAsia" w:ascii="宋体" w:hAnsi="宋体" w:eastAsia="宋体" w:cs="宋体"/>
          <w:b w:val="0"/>
          <w:bCs/>
          <w:sz w:val="24"/>
          <w:szCs w:val="24"/>
        </w:rPr>
        <w:t>每天进行</w:t>
      </w:r>
      <w:r>
        <w:rPr>
          <w:rFonts w:hint="eastAsia" w:ascii="宋体" w:hAnsi="宋体" w:eastAsia="宋体" w:cs="宋体"/>
          <w:b w:val="0"/>
          <w:bCs/>
          <w:sz w:val="24"/>
          <w:szCs w:val="24"/>
          <w:lang w:val="en-US" w:eastAsia="zh-CN"/>
        </w:rPr>
        <w:t>消防维保</w:t>
      </w:r>
      <w:r>
        <w:rPr>
          <w:rFonts w:hint="eastAsia" w:ascii="宋体" w:hAnsi="宋体" w:eastAsia="宋体" w:cs="宋体"/>
          <w:b w:val="0"/>
          <w:bCs/>
          <w:sz w:val="24"/>
          <w:szCs w:val="24"/>
        </w:rPr>
        <w:t>日常巡查，并填写巡查记录；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②</w:t>
      </w:r>
      <w:r>
        <w:rPr>
          <w:rFonts w:hint="eastAsia" w:ascii="宋体" w:hAnsi="宋体" w:eastAsia="宋体" w:cs="宋体"/>
          <w:b w:val="0"/>
          <w:bCs/>
          <w:sz w:val="24"/>
          <w:szCs w:val="24"/>
        </w:rPr>
        <w:t>每月进行月度</w:t>
      </w:r>
      <w:r>
        <w:rPr>
          <w:rFonts w:hint="eastAsia" w:ascii="宋体" w:hAnsi="宋体" w:eastAsia="宋体" w:cs="宋体"/>
          <w:b w:val="0"/>
          <w:bCs/>
          <w:sz w:val="24"/>
          <w:szCs w:val="24"/>
          <w:lang w:val="en-US" w:eastAsia="zh-CN"/>
        </w:rPr>
        <w:t>测试</w:t>
      </w:r>
      <w:r>
        <w:rPr>
          <w:rFonts w:hint="eastAsia" w:ascii="宋体" w:hAnsi="宋体" w:eastAsia="宋体" w:cs="宋体"/>
          <w:b w:val="0"/>
          <w:bCs/>
          <w:sz w:val="24"/>
          <w:szCs w:val="24"/>
        </w:rPr>
        <w:t>，需要有</w:t>
      </w:r>
      <w:r>
        <w:rPr>
          <w:rFonts w:hint="eastAsia" w:ascii="宋体" w:hAnsi="宋体" w:eastAsia="宋体" w:cs="宋体"/>
          <w:b w:val="0"/>
          <w:bCs/>
          <w:sz w:val="24"/>
          <w:szCs w:val="24"/>
          <w:lang w:val="en-US" w:eastAsia="zh-CN"/>
        </w:rPr>
        <w:t>甲方</w:t>
      </w:r>
      <w:r>
        <w:rPr>
          <w:rFonts w:hint="eastAsia" w:ascii="宋体" w:hAnsi="宋体" w:eastAsia="宋体" w:cs="宋体"/>
          <w:b w:val="0"/>
          <w:bCs/>
          <w:sz w:val="24"/>
          <w:szCs w:val="24"/>
        </w:rPr>
        <w:t>消防工作人员参加；</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③</w:t>
      </w:r>
      <w:r>
        <w:rPr>
          <w:rFonts w:hint="eastAsia" w:ascii="宋体" w:hAnsi="宋体" w:eastAsia="宋体" w:cs="宋体"/>
          <w:b w:val="0"/>
          <w:bCs/>
          <w:sz w:val="24"/>
          <w:szCs w:val="24"/>
        </w:rPr>
        <w:t>每月5日前提交</w:t>
      </w:r>
      <w:r>
        <w:rPr>
          <w:rFonts w:hint="eastAsia" w:ascii="宋体" w:hAnsi="宋体" w:eastAsia="宋体" w:cs="宋体"/>
          <w:b w:val="0"/>
          <w:bCs/>
          <w:sz w:val="24"/>
          <w:szCs w:val="24"/>
          <w:lang w:val="en-US" w:eastAsia="zh-CN"/>
        </w:rPr>
        <w:t>上月</w:t>
      </w:r>
      <w:r>
        <w:rPr>
          <w:rFonts w:hint="eastAsia" w:ascii="宋体" w:hAnsi="宋体" w:eastAsia="宋体" w:cs="宋体"/>
          <w:b w:val="0"/>
          <w:bCs/>
          <w:sz w:val="24"/>
          <w:szCs w:val="24"/>
        </w:rPr>
        <w:t>日常检查记录、</w:t>
      </w:r>
      <w:r>
        <w:rPr>
          <w:rFonts w:hint="eastAsia" w:ascii="宋体" w:hAnsi="宋体" w:eastAsia="宋体" w:cs="宋体"/>
          <w:b w:val="0"/>
          <w:bCs/>
          <w:sz w:val="24"/>
          <w:szCs w:val="24"/>
          <w:lang w:val="en-US" w:eastAsia="zh-CN"/>
        </w:rPr>
        <w:t>维修</w:t>
      </w:r>
      <w:r>
        <w:rPr>
          <w:rFonts w:hint="eastAsia" w:ascii="宋体" w:hAnsi="宋体" w:eastAsia="宋体" w:cs="宋体"/>
          <w:b w:val="0"/>
          <w:bCs/>
          <w:sz w:val="24"/>
          <w:szCs w:val="24"/>
        </w:rPr>
        <w:t>记录</w:t>
      </w:r>
    </w:p>
    <w:p>
      <w:pPr>
        <w:keepNext w:val="0"/>
        <w:keepLines w:val="0"/>
        <w:pageBreakBefore w:val="0"/>
        <w:widowControl/>
        <w:tabs>
          <w:tab w:val="left" w:pos="420"/>
          <w:tab w:val="left" w:pos="1680"/>
        </w:tabs>
        <w:kinsoku w:val="0"/>
        <w:wordWrap/>
        <w:overflowPunct/>
        <w:topLinePunct w:val="0"/>
        <w:autoSpaceDE w:val="0"/>
        <w:autoSpaceDN w:val="0"/>
        <w:bidi w:val="0"/>
        <w:adjustRightInd w:val="0"/>
        <w:snapToGrid w:val="0"/>
        <w:spacing w:line="300" w:lineRule="auto"/>
        <w:ind w:firstLine="480" w:firstLineChars="200"/>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④每月月底提交</w:t>
      </w:r>
      <w:r>
        <w:rPr>
          <w:rFonts w:hint="eastAsia" w:ascii="宋体" w:hAnsi="宋体" w:eastAsia="宋体" w:cs="宋体"/>
          <w:b w:val="0"/>
          <w:bCs/>
          <w:sz w:val="24"/>
          <w:szCs w:val="24"/>
        </w:rPr>
        <w:t>下一个月工作安排计划。</w:t>
      </w:r>
    </w:p>
    <w:p>
      <w:pPr>
        <w:autoSpaceDE w:val="0"/>
        <w:autoSpaceDN w:val="0"/>
        <w:adjustRightInd w:val="0"/>
        <w:snapToGrid w:val="0"/>
        <w:spacing w:line="300" w:lineRule="auto"/>
        <w:ind w:left="500"/>
        <w:rPr>
          <w:rFonts w:ascii="宋体" w:cs="宋体"/>
          <w:spacing w:val="5"/>
        </w:rPr>
      </w:pPr>
    </w:p>
    <w:p>
      <w:pPr>
        <w:tabs>
          <w:tab w:val="left" w:pos="540"/>
        </w:tabs>
        <w:spacing w:line="300" w:lineRule="auto"/>
        <w:ind w:firstLine="472" w:firstLineChars="196"/>
        <w:rPr>
          <w:rFonts w:ascii="Arial" w:hAnsi="Arial" w:cs="Arial"/>
          <w:b/>
          <w:bCs/>
        </w:rPr>
      </w:pPr>
      <w:r>
        <w:rPr>
          <w:rFonts w:hint="eastAsia" w:ascii="Arial" w:hAnsi="Arial" w:cs="Arial"/>
          <w:b/>
          <w:bCs/>
        </w:rPr>
        <w:t>四、报价方式</w:t>
      </w:r>
    </w:p>
    <w:p>
      <w:pPr>
        <w:numPr>
          <w:ilvl w:val="0"/>
          <w:numId w:val="6"/>
        </w:numPr>
        <w:tabs>
          <w:tab w:val="left" w:pos="426"/>
          <w:tab w:val="left" w:pos="709"/>
          <w:tab w:val="clear" w:pos="420"/>
        </w:tabs>
        <w:spacing w:line="300" w:lineRule="auto"/>
        <w:rPr>
          <w:rFonts w:ascii="Tahoma" w:hAnsi="宋体" w:cs="Tahoma"/>
          <w:color w:val="000000"/>
        </w:rPr>
      </w:pPr>
      <w:r>
        <w:rPr>
          <w:rFonts w:ascii="Tahoma" w:hAnsi="宋体" w:cs="Tahoma"/>
          <w:color w:val="000000"/>
        </w:rPr>
        <w:t xml:space="preserve">   </w:t>
      </w:r>
      <w:r>
        <w:rPr>
          <w:rFonts w:hint="eastAsia" w:ascii="Tahoma" w:hAnsi="宋体" w:cs="Tahoma"/>
          <w:color w:val="000000"/>
        </w:rPr>
        <w:t>报价要求：</w:t>
      </w:r>
    </w:p>
    <w:p>
      <w:pPr>
        <w:numPr>
          <w:ilvl w:val="0"/>
          <w:numId w:val="7"/>
        </w:numPr>
        <w:tabs>
          <w:tab w:val="left" w:pos="720"/>
          <w:tab w:val="clear" w:pos="420"/>
        </w:tabs>
        <w:spacing w:line="300" w:lineRule="auto"/>
        <w:ind w:left="1140" w:hanging="360"/>
        <w:rPr>
          <w:rFonts w:ascii="Arial" w:hAnsi="Arial" w:cs="Tahoma"/>
        </w:rPr>
      </w:pPr>
      <w:r>
        <w:rPr>
          <w:rFonts w:hint="eastAsia" w:ascii="Arial" w:hAnsi="Arial" w:cs="Tahoma"/>
        </w:rPr>
        <w:t>投标人必须就以上工作内容核算工程量</w:t>
      </w:r>
      <w:r>
        <w:rPr>
          <w:rFonts w:hint="eastAsia" w:ascii="Tahoma" w:hAnsi="Tahoma" w:cs="Tahoma"/>
          <w:color w:val="000000"/>
        </w:rPr>
        <w:t>，报价为各分项的人工费（须按广东省预算定额进行编制，如人工费为折后价，须注明相关比例）、材料费及含税组成。</w:t>
      </w:r>
    </w:p>
    <w:p>
      <w:pPr>
        <w:numPr>
          <w:ilvl w:val="0"/>
          <w:numId w:val="7"/>
        </w:numPr>
        <w:tabs>
          <w:tab w:val="left" w:pos="720"/>
          <w:tab w:val="clear" w:pos="420"/>
        </w:tabs>
        <w:spacing w:line="300" w:lineRule="auto"/>
        <w:ind w:left="1140" w:hanging="360"/>
        <w:rPr>
          <w:rFonts w:ascii="Arial" w:hAnsi="Arial" w:cs="Tahoma"/>
        </w:rPr>
      </w:pPr>
      <w:r>
        <w:rPr>
          <w:rFonts w:hint="eastAsia" w:ascii="Tahoma" w:hAnsi="Tahoma" w:cs="Tahoma"/>
          <w:color w:val="000000"/>
        </w:rPr>
        <w:t>严格按照工程量与报价表中要求的设备与主材品牌报价，未明确要求品牌的材料，投标单位须提供品牌选择范围或样品供我方确认</w:t>
      </w:r>
      <w:r>
        <w:rPr>
          <w:rFonts w:hint="eastAsia" w:ascii="Arial" w:hAnsi="Arial" w:cs="Tahoma"/>
        </w:rPr>
        <w:t>。</w:t>
      </w:r>
    </w:p>
    <w:p>
      <w:pPr>
        <w:numPr>
          <w:ilvl w:val="0"/>
          <w:numId w:val="7"/>
        </w:numPr>
        <w:tabs>
          <w:tab w:val="left" w:pos="720"/>
          <w:tab w:val="clear" w:pos="420"/>
        </w:tabs>
        <w:spacing w:line="300" w:lineRule="auto"/>
        <w:ind w:left="1140" w:hanging="360"/>
        <w:rPr>
          <w:rFonts w:ascii="Tahoma" w:hAnsi="Tahoma" w:cs="Tahoma"/>
          <w:color w:val="000000"/>
        </w:rPr>
      </w:pPr>
      <w:r>
        <w:rPr>
          <w:rFonts w:hint="eastAsia" w:ascii="Tahoma" w:hAnsi="Tahoma" w:cs="Tahoma"/>
          <w:color w:val="000000"/>
        </w:rPr>
        <w:t>工程量清单是投标报价的基础，该清单是甲方在消防系统图的基础上予以测算，与现场情况可能存在差距，投标单位根据现场勘察所掌握</w:t>
      </w:r>
    </w:p>
    <w:p>
      <w:pPr>
        <w:tabs>
          <w:tab w:val="left" w:pos="720"/>
        </w:tabs>
        <w:spacing w:line="300" w:lineRule="auto"/>
        <w:ind w:left="845" w:leftChars="352" w:firstLine="360" w:firstLineChars="150"/>
        <w:rPr>
          <w:rFonts w:ascii="Arial" w:hAnsi="Arial" w:cs="Tahoma"/>
        </w:rPr>
      </w:pPr>
      <w:r>
        <w:rPr>
          <w:rFonts w:hint="eastAsia" w:ascii="Tahoma" w:hAnsi="Tahoma" w:cs="Tahoma"/>
          <w:color w:val="000000"/>
        </w:rPr>
        <w:t>的数据，进行综合报价。</w:t>
      </w:r>
    </w:p>
    <w:p>
      <w:pPr>
        <w:numPr>
          <w:ilvl w:val="0"/>
          <w:numId w:val="7"/>
        </w:numPr>
        <w:tabs>
          <w:tab w:val="left" w:pos="720"/>
          <w:tab w:val="clear" w:pos="420"/>
        </w:tabs>
        <w:spacing w:line="300" w:lineRule="auto"/>
        <w:ind w:left="1140" w:hanging="360"/>
        <w:rPr>
          <w:rFonts w:ascii="Tahoma" w:hAnsi="Tahoma" w:cs="Tahoma"/>
          <w:color w:val="000000"/>
        </w:rPr>
      </w:pPr>
      <w:r>
        <w:rPr>
          <w:rFonts w:hint="eastAsia" w:ascii="Tahoma" w:hAnsi="Tahoma" w:cs="Tahoma"/>
          <w:color w:val="000000"/>
        </w:rPr>
        <w:t>第一次投标单价是竞标后最终单价的调整依据，每项单价均按最终总价优惠比例调整。若非甲方评标组认可，不得随意调整单价。</w:t>
      </w:r>
    </w:p>
    <w:p>
      <w:pPr>
        <w:numPr>
          <w:ilvl w:val="0"/>
          <w:numId w:val="7"/>
        </w:numPr>
        <w:tabs>
          <w:tab w:val="left" w:pos="720"/>
          <w:tab w:val="clear" w:pos="420"/>
        </w:tabs>
        <w:spacing w:line="300" w:lineRule="auto"/>
        <w:ind w:left="1140" w:hanging="360"/>
        <w:rPr>
          <w:rFonts w:ascii="Arial" w:hAnsi="Arial" w:cs="Tahoma"/>
        </w:rPr>
      </w:pPr>
      <w:r>
        <w:rPr>
          <w:rFonts w:hint="eastAsia" w:ascii="Tahoma" w:hAnsi="Tahoma" w:cs="Tahoma"/>
          <w:color w:val="000000"/>
        </w:rPr>
        <w:t>报价有效期为两个月以上，报价有效期指自确定最终价格之日起计至合同签定之日</w:t>
      </w:r>
      <w:r>
        <w:rPr>
          <w:rFonts w:hint="eastAsia" w:ascii="Arial" w:hAnsi="Arial" w:cs="Tahoma"/>
        </w:rPr>
        <w:t>。</w:t>
      </w:r>
    </w:p>
    <w:p>
      <w:pPr>
        <w:tabs>
          <w:tab w:val="left" w:pos="720"/>
        </w:tabs>
        <w:spacing w:line="300" w:lineRule="auto"/>
        <w:ind w:left="720"/>
        <w:rPr>
          <w:rFonts w:ascii="Arial" w:hAnsi="Arial" w:cs="Tahoma"/>
        </w:rPr>
      </w:pPr>
    </w:p>
    <w:p>
      <w:pPr>
        <w:spacing w:line="300" w:lineRule="auto"/>
        <w:rPr>
          <w:rFonts w:ascii="Tahoma" w:hAnsi="宋体" w:cs="Tahoma"/>
          <w:color w:val="000000"/>
        </w:rPr>
      </w:pPr>
      <w:r>
        <w:rPr>
          <w:rFonts w:hint="eastAsia" w:ascii="Tahoma" w:hAnsi="宋体" w:cs="Tahoma"/>
          <w:color w:val="000000"/>
        </w:rPr>
        <w:t>（二）报价形式：</w:t>
      </w:r>
    </w:p>
    <w:p>
      <w:pPr>
        <w:numPr>
          <w:ilvl w:val="0"/>
          <w:numId w:val="8"/>
        </w:numPr>
        <w:tabs>
          <w:tab w:val="left" w:pos="720"/>
        </w:tabs>
        <w:spacing w:line="300" w:lineRule="auto"/>
        <w:rPr>
          <w:rFonts w:ascii="Tahoma" w:hAnsi="Tahoma" w:cs="Tahoma"/>
          <w:color w:val="000000"/>
        </w:rPr>
      </w:pPr>
      <w:r>
        <w:rPr>
          <w:rFonts w:hint="eastAsia" w:ascii="Tahoma" w:hAnsi="Tahoma" w:cs="Tahoma"/>
          <w:color w:val="000000"/>
        </w:rPr>
        <w:t>以报价汇总表结合分项报价的形式报价（以业主提供附表格式为准）：</w:t>
      </w:r>
    </w:p>
    <w:p>
      <w:pPr>
        <w:tabs>
          <w:tab w:val="left" w:pos="720"/>
        </w:tabs>
        <w:spacing w:line="300" w:lineRule="auto"/>
        <w:ind w:left="1140"/>
        <w:rPr>
          <w:rFonts w:ascii="Tahoma" w:hAnsi="Tahoma" w:cs="Tahoma"/>
          <w:color w:val="000000"/>
        </w:rPr>
      </w:pPr>
      <w:r>
        <w:rPr>
          <w:rFonts w:hint="eastAsia" w:ascii="Tahoma" w:hAnsi="Tahoma" w:cs="Tahoma"/>
          <w:color w:val="000000"/>
        </w:rPr>
        <w:t>详见附表</w:t>
      </w:r>
      <w:r>
        <w:rPr>
          <w:rFonts w:ascii="Tahoma" w:hAnsi="Tahoma" w:cs="Tahoma"/>
          <w:color w:val="000000"/>
        </w:rPr>
        <w:t>1</w:t>
      </w:r>
      <w:r>
        <w:rPr>
          <w:rFonts w:hint="eastAsia" w:ascii="Tahoma" w:hAnsi="Tahoma" w:cs="Tahoma"/>
        </w:rPr>
        <w:t>：《</w:t>
      </w:r>
      <w:r>
        <w:rPr>
          <w:rFonts w:hint="eastAsia" w:ascii="Tahoma" w:hAnsi="Tahoma" w:cs="Tahoma"/>
          <w:lang w:eastAsia="zh-CN"/>
        </w:rPr>
        <w:t>东莞城市学院</w:t>
      </w:r>
      <w:r>
        <w:rPr>
          <w:rFonts w:ascii="Tahoma" w:hAnsi="Tahoma" w:cs="Tahoma"/>
          <w:color w:val="auto"/>
        </w:rPr>
        <w:t>20</w:t>
      </w:r>
      <w:r>
        <w:rPr>
          <w:rFonts w:hint="eastAsia" w:ascii="Tahoma" w:hAnsi="Tahoma" w:cs="Tahoma"/>
          <w:color w:val="auto"/>
          <w:lang w:val="en-US" w:eastAsia="zh-CN"/>
        </w:rPr>
        <w:t>24</w:t>
      </w:r>
      <w:r>
        <w:rPr>
          <w:rFonts w:ascii="Tahoma" w:hAnsi="Tahoma" w:cs="Tahoma"/>
          <w:color w:val="auto"/>
        </w:rPr>
        <w:t>-20</w:t>
      </w:r>
      <w:r>
        <w:rPr>
          <w:rFonts w:hint="eastAsia" w:ascii="Tahoma" w:hAnsi="Tahoma" w:cs="Tahoma"/>
          <w:color w:val="auto"/>
          <w:lang w:val="en-US" w:eastAsia="zh-CN"/>
        </w:rPr>
        <w:t>25</w:t>
      </w:r>
      <w:r>
        <w:rPr>
          <w:rFonts w:hint="eastAsia" w:ascii="Tahoma" w:hAnsi="Tahoma" w:cs="Tahoma"/>
          <w:color w:val="auto"/>
        </w:rPr>
        <w:t>消</w:t>
      </w:r>
      <w:r>
        <w:rPr>
          <w:rFonts w:hint="eastAsia" w:ascii="Tahoma" w:hAnsi="Tahoma" w:cs="Tahoma"/>
        </w:rPr>
        <w:t>防设施保养工程量清单》</w:t>
      </w:r>
      <w:r>
        <w:rPr>
          <w:rFonts w:hint="eastAsia" w:ascii="Tahoma" w:hAnsi="Tahoma" w:cs="Tahoma"/>
          <w:color w:val="000000"/>
        </w:rPr>
        <w:t>；请务必按照业主要求之形式报价。</w:t>
      </w:r>
    </w:p>
    <w:p>
      <w:pPr>
        <w:spacing w:line="300" w:lineRule="auto"/>
        <w:ind w:left="1350" w:hanging="1350"/>
        <w:rPr>
          <w:rFonts w:ascii="Arial" w:hAnsi="Arial" w:cs="Arial"/>
          <w:b/>
          <w:bCs/>
        </w:rPr>
      </w:pPr>
      <w:r>
        <w:rPr>
          <w:rFonts w:hint="eastAsia" w:ascii="宋体" w:hAnsi="宋体" w:cs="Tahoma"/>
          <w:b/>
          <w:bCs/>
          <w:sz w:val="28"/>
          <w:szCs w:val="28"/>
        </w:rPr>
        <w:t>五、</w:t>
      </w:r>
      <w:r>
        <w:rPr>
          <w:rFonts w:hint="eastAsia" w:ascii="Arial" w:hAnsi="Arial" w:cs="Arial"/>
          <w:b/>
          <w:bCs/>
        </w:rPr>
        <w:t>投标文件的组成及解释</w:t>
      </w:r>
    </w:p>
    <w:p>
      <w:pPr>
        <w:numPr>
          <w:ilvl w:val="0"/>
          <w:numId w:val="9"/>
        </w:numPr>
        <w:spacing w:line="300" w:lineRule="auto"/>
        <w:ind w:left="1140"/>
        <w:rPr>
          <w:rFonts w:ascii="Arial" w:hAnsi="Arial"/>
          <w:szCs w:val="28"/>
        </w:rPr>
      </w:pPr>
      <w:r>
        <w:rPr>
          <w:rFonts w:hint="eastAsia" w:ascii="Arial" w:hAnsi="Arial"/>
          <w:szCs w:val="28"/>
        </w:rPr>
        <w:t>投标报价书。</w:t>
      </w:r>
    </w:p>
    <w:p>
      <w:pPr>
        <w:numPr>
          <w:ilvl w:val="0"/>
          <w:numId w:val="9"/>
        </w:numPr>
        <w:spacing w:line="300" w:lineRule="auto"/>
        <w:ind w:left="1140"/>
        <w:rPr>
          <w:rFonts w:ascii="Arial" w:hAnsi="Arial"/>
          <w:szCs w:val="28"/>
        </w:rPr>
      </w:pPr>
      <w:r>
        <w:rPr>
          <w:rFonts w:hint="eastAsia" w:ascii="Arial" w:hAnsi="Arial"/>
          <w:szCs w:val="28"/>
        </w:rPr>
        <w:t>提供消防设施维护保养的质量承诺书。</w:t>
      </w:r>
    </w:p>
    <w:p>
      <w:pPr>
        <w:numPr>
          <w:ilvl w:val="0"/>
          <w:numId w:val="9"/>
        </w:numPr>
        <w:spacing w:line="300" w:lineRule="auto"/>
        <w:ind w:left="1140"/>
        <w:rPr>
          <w:rFonts w:ascii="Arial" w:hAnsi="Arial"/>
          <w:szCs w:val="28"/>
        </w:rPr>
      </w:pPr>
      <w:r>
        <w:rPr>
          <w:rFonts w:hint="eastAsia" w:ascii="Arial" w:hAnsi="Arial"/>
          <w:szCs w:val="28"/>
        </w:rPr>
        <w:t>消防系统维护保养实施方案及应急处理方案；人员配备方案日常、月度、年度维护保养及检查方案以及在施工过程中的安全防护预案。</w:t>
      </w:r>
    </w:p>
    <w:p>
      <w:pPr>
        <w:numPr>
          <w:ilvl w:val="0"/>
          <w:numId w:val="9"/>
        </w:numPr>
        <w:spacing w:line="300" w:lineRule="auto"/>
        <w:ind w:left="1140"/>
        <w:rPr>
          <w:rFonts w:ascii="Arial" w:hAnsi="Arial"/>
          <w:szCs w:val="28"/>
        </w:rPr>
      </w:pPr>
      <w:r>
        <w:rPr>
          <w:rFonts w:hint="eastAsia" w:ascii="Arial" w:hAnsi="Arial"/>
          <w:szCs w:val="28"/>
        </w:rPr>
        <w:t>企业资质证书复印件。</w:t>
      </w:r>
    </w:p>
    <w:p>
      <w:pPr>
        <w:numPr>
          <w:ilvl w:val="0"/>
          <w:numId w:val="9"/>
        </w:numPr>
        <w:spacing w:line="300" w:lineRule="auto"/>
        <w:ind w:left="1140"/>
        <w:rPr>
          <w:rFonts w:ascii="Arial" w:hAnsi="Arial"/>
          <w:szCs w:val="28"/>
        </w:rPr>
      </w:pPr>
      <w:r>
        <w:rPr>
          <w:rFonts w:hint="eastAsia" w:ascii="Arial" w:hAnsi="Arial"/>
          <w:szCs w:val="28"/>
        </w:rPr>
        <w:t>根据招标文件规定的相关要求，编制维护保养计划（含人员配置说明以及分工说明），并提供计划进场实施维护保养人员名单。</w:t>
      </w:r>
    </w:p>
    <w:p>
      <w:pPr>
        <w:numPr>
          <w:ilvl w:val="0"/>
          <w:numId w:val="9"/>
        </w:numPr>
        <w:spacing w:line="300" w:lineRule="auto"/>
        <w:ind w:left="1140"/>
        <w:rPr>
          <w:rFonts w:ascii="Arial" w:hAnsi="Arial"/>
          <w:b/>
          <w:bCs/>
          <w:color w:val="auto"/>
          <w:szCs w:val="28"/>
        </w:rPr>
      </w:pPr>
      <w:r>
        <w:rPr>
          <w:rFonts w:hint="eastAsia" w:ascii="Arial" w:hAnsi="Arial"/>
          <w:b/>
          <w:bCs/>
          <w:szCs w:val="28"/>
        </w:rPr>
        <w:t>提供项目经理名单以及相关资质、身份证明资料、</w:t>
      </w:r>
      <w:r>
        <w:rPr>
          <w:rFonts w:hint="eastAsia" w:ascii="Arial" w:hAnsi="Arial"/>
          <w:b/>
          <w:bCs/>
          <w:color w:val="auto"/>
          <w:szCs w:val="28"/>
        </w:rPr>
        <w:t>维保人员技术资格证明材料。</w:t>
      </w:r>
    </w:p>
    <w:p>
      <w:pPr>
        <w:numPr>
          <w:ilvl w:val="0"/>
          <w:numId w:val="9"/>
        </w:numPr>
        <w:spacing w:line="300" w:lineRule="auto"/>
        <w:ind w:left="1140"/>
        <w:rPr>
          <w:rFonts w:ascii="Arial" w:hAnsi="Arial"/>
          <w:szCs w:val="28"/>
        </w:rPr>
      </w:pPr>
      <w:r>
        <w:rPr>
          <w:rFonts w:hint="eastAsia" w:ascii="Arial" w:hAnsi="Arial"/>
          <w:szCs w:val="28"/>
        </w:rPr>
        <w:t>维保人员在工作时必须着装中标方的工衣，并保证工衣整洁、得体。投标方须提供冬夏工衣的相关</w:t>
      </w:r>
      <w:r>
        <w:rPr>
          <w:rFonts w:hint="eastAsia" w:ascii="Arial" w:hAnsi="Arial"/>
          <w:color w:val="auto"/>
          <w:szCs w:val="28"/>
        </w:rPr>
        <w:t>资料、维保人员工作需求工具。</w:t>
      </w:r>
    </w:p>
    <w:p>
      <w:pPr>
        <w:numPr>
          <w:ilvl w:val="0"/>
          <w:numId w:val="9"/>
        </w:numPr>
        <w:spacing w:line="300" w:lineRule="auto"/>
        <w:ind w:left="1140"/>
        <w:rPr>
          <w:rFonts w:ascii="Arial" w:hAnsi="Arial"/>
          <w:szCs w:val="28"/>
        </w:rPr>
      </w:pPr>
      <w:r>
        <w:rPr>
          <w:rFonts w:hint="eastAsia" w:ascii="Arial" w:hAnsi="Arial"/>
          <w:szCs w:val="28"/>
        </w:rPr>
        <w:t>投标方在收到甲方文件后，若有疑问需要澄清，应于收到甲方文件后二日内以书面形式向甲方提出；甲方将以书面形式予以解答，并在甲答疑会后将书面答复送所有投标方。</w:t>
      </w:r>
    </w:p>
    <w:p>
      <w:pPr>
        <w:spacing w:line="300" w:lineRule="auto"/>
        <w:rPr>
          <w:rFonts w:ascii="Arial" w:hAnsi="Arial"/>
          <w:szCs w:val="28"/>
        </w:rPr>
      </w:pPr>
    </w:p>
    <w:p>
      <w:pPr>
        <w:numPr>
          <w:ilvl w:val="0"/>
          <w:numId w:val="10"/>
        </w:numPr>
        <w:tabs>
          <w:tab w:val="left" w:pos="567"/>
        </w:tabs>
        <w:spacing w:line="300" w:lineRule="auto"/>
        <w:rPr>
          <w:rFonts w:ascii="Arial" w:hAnsi="Arial" w:cs="Arial"/>
          <w:b/>
          <w:bCs/>
        </w:rPr>
      </w:pPr>
      <w:r>
        <w:rPr>
          <w:rFonts w:hint="eastAsia" w:ascii="Arial" w:hAnsi="Arial" w:cs="Arial"/>
          <w:b/>
          <w:bCs/>
        </w:rPr>
        <w:t>投标文件的编制与递交</w:t>
      </w:r>
    </w:p>
    <w:p>
      <w:pPr>
        <w:numPr>
          <w:ilvl w:val="0"/>
          <w:numId w:val="11"/>
        </w:numPr>
        <w:tabs>
          <w:tab w:val="left" w:pos="720"/>
          <w:tab w:val="clear" w:pos="420"/>
        </w:tabs>
        <w:spacing w:line="300" w:lineRule="auto"/>
        <w:ind w:hanging="240"/>
        <w:rPr>
          <w:rFonts w:ascii="Arial" w:hAnsi="Arial"/>
          <w:szCs w:val="28"/>
        </w:rPr>
      </w:pPr>
      <w:r>
        <w:rPr>
          <w:rFonts w:hint="eastAsia" w:ascii="Arial" w:hAnsi="Arial"/>
          <w:szCs w:val="28"/>
        </w:rPr>
        <w:t>投标文件的密封与标志</w:t>
      </w:r>
    </w:p>
    <w:p>
      <w:pPr>
        <w:numPr>
          <w:ilvl w:val="0"/>
          <w:numId w:val="12"/>
        </w:numPr>
        <w:tabs>
          <w:tab w:val="left" w:pos="1140"/>
          <w:tab w:val="clear" w:pos="540"/>
        </w:tabs>
        <w:spacing w:line="300" w:lineRule="auto"/>
        <w:ind w:left="1140"/>
        <w:rPr>
          <w:rFonts w:ascii="Arial" w:hAnsi="Arial" w:cs="Arial"/>
        </w:rPr>
      </w:pPr>
      <w:r>
        <w:rPr>
          <w:rFonts w:hint="eastAsia" w:ascii="Arial" w:hAnsi="Arial" w:cs="Arial"/>
        </w:rPr>
        <w:t>投标文件打印版必须加盖投标单位公章。</w:t>
      </w:r>
    </w:p>
    <w:p>
      <w:pPr>
        <w:numPr>
          <w:ilvl w:val="0"/>
          <w:numId w:val="12"/>
        </w:numPr>
        <w:tabs>
          <w:tab w:val="left" w:pos="1140"/>
          <w:tab w:val="clear" w:pos="540"/>
        </w:tabs>
        <w:spacing w:line="300" w:lineRule="auto"/>
        <w:ind w:left="1140"/>
        <w:rPr>
          <w:rFonts w:ascii="Arial" w:hAnsi="Arial" w:cs="Arial"/>
        </w:rPr>
      </w:pPr>
      <w:r>
        <w:rPr>
          <w:rFonts w:hint="eastAsia" w:ascii="Arial" w:hAnsi="Arial" w:cs="Arial"/>
        </w:rPr>
        <w:t>在投标文件袋封面上写明投标人名称和项目名称。</w:t>
      </w:r>
    </w:p>
    <w:p>
      <w:pPr>
        <w:numPr>
          <w:ilvl w:val="0"/>
          <w:numId w:val="12"/>
        </w:numPr>
        <w:tabs>
          <w:tab w:val="left" w:pos="1140"/>
          <w:tab w:val="clear" w:pos="540"/>
        </w:tabs>
        <w:spacing w:line="300" w:lineRule="auto"/>
        <w:ind w:left="1140"/>
        <w:rPr>
          <w:rFonts w:ascii="Arial" w:hAnsi="Arial" w:cs="Arial"/>
        </w:rPr>
      </w:pPr>
      <w:r>
        <w:rPr>
          <w:rFonts w:hint="eastAsia" w:ascii="Arial" w:hAnsi="Arial" w:cs="Arial"/>
        </w:rPr>
        <w:t>投标文件封装后在密封处加盖投标人公章和单位法定代表人的印鉴。</w:t>
      </w:r>
    </w:p>
    <w:p>
      <w:pPr>
        <w:numPr>
          <w:ilvl w:val="0"/>
          <w:numId w:val="12"/>
        </w:numPr>
        <w:tabs>
          <w:tab w:val="left" w:pos="1140"/>
          <w:tab w:val="clear" w:pos="540"/>
        </w:tabs>
        <w:spacing w:line="300" w:lineRule="auto"/>
        <w:ind w:left="1140"/>
        <w:rPr>
          <w:rFonts w:ascii="Arial" w:hAnsi="Arial" w:cs="Arial"/>
        </w:rPr>
      </w:pPr>
      <w:r>
        <w:rPr>
          <w:rFonts w:hint="eastAsia" w:ascii="Arial" w:hAnsi="Arial" w:cs="Arial"/>
        </w:rPr>
        <w:t>如果投标人未按上述规定提交的投标文件将被拒收或视为无效标书。</w:t>
      </w:r>
    </w:p>
    <w:p>
      <w:pPr>
        <w:spacing w:line="300" w:lineRule="auto"/>
        <w:ind w:left="600"/>
        <w:rPr>
          <w:rFonts w:ascii="Arial" w:hAnsi="Arial"/>
          <w:szCs w:val="28"/>
        </w:rPr>
      </w:pPr>
    </w:p>
    <w:p>
      <w:pPr>
        <w:numPr>
          <w:ilvl w:val="0"/>
          <w:numId w:val="11"/>
        </w:numPr>
        <w:tabs>
          <w:tab w:val="left" w:pos="720"/>
          <w:tab w:val="clear" w:pos="420"/>
        </w:tabs>
        <w:spacing w:line="300" w:lineRule="auto"/>
        <w:ind w:hanging="240"/>
        <w:rPr>
          <w:rFonts w:ascii="Arial" w:hAnsi="Arial"/>
          <w:szCs w:val="28"/>
        </w:rPr>
      </w:pPr>
      <w:r>
        <w:rPr>
          <w:rFonts w:hint="eastAsia" w:ascii="Arial" w:hAnsi="Arial"/>
          <w:szCs w:val="28"/>
        </w:rPr>
        <w:t>投标截止期</w:t>
      </w:r>
    </w:p>
    <w:p>
      <w:pPr>
        <w:numPr>
          <w:ilvl w:val="0"/>
          <w:numId w:val="13"/>
        </w:numPr>
        <w:tabs>
          <w:tab w:val="left" w:pos="1140"/>
          <w:tab w:val="clear" w:pos="360"/>
        </w:tabs>
        <w:spacing w:line="300" w:lineRule="auto"/>
        <w:ind w:left="1140"/>
        <w:rPr>
          <w:rFonts w:ascii="Arial" w:hAnsi="Arial" w:cs="Arial"/>
        </w:rPr>
      </w:pPr>
      <w:r>
        <w:rPr>
          <w:rFonts w:hint="eastAsia" w:ascii="Arial" w:hAnsi="Arial" w:cs="Arial"/>
        </w:rPr>
        <w:t>投标人应在投标截止时间之前将投标文件按上述地址递交给甲方。甲方在接到投标文件时登记签收。</w:t>
      </w:r>
    </w:p>
    <w:p>
      <w:pPr>
        <w:numPr>
          <w:ilvl w:val="0"/>
          <w:numId w:val="13"/>
        </w:numPr>
        <w:tabs>
          <w:tab w:val="left" w:pos="1140"/>
          <w:tab w:val="clear" w:pos="360"/>
        </w:tabs>
        <w:spacing w:line="300" w:lineRule="auto"/>
        <w:ind w:left="1140"/>
        <w:rPr>
          <w:rFonts w:ascii="Tahoma" w:hAnsi="Tahoma" w:cs="Tahoma"/>
        </w:rPr>
      </w:pPr>
      <w:r>
        <w:rPr>
          <w:rFonts w:hint="eastAsia" w:ascii="Arial" w:hAnsi="Arial" w:cs="Arial"/>
        </w:rPr>
        <w:t>超过投标截止期送达的投标文件将被拒收</w:t>
      </w:r>
      <w:r>
        <w:rPr>
          <w:rFonts w:hint="eastAsia" w:ascii="Tahoma" w:hAnsi="Tahoma" w:cs="Tahoma"/>
        </w:rPr>
        <w:t>，并原封退给投标人。</w:t>
      </w:r>
    </w:p>
    <w:p>
      <w:pPr>
        <w:spacing w:line="300" w:lineRule="auto"/>
        <w:ind w:left="1200"/>
        <w:rPr>
          <w:rFonts w:ascii="Arial" w:hAnsi="Arial"/>
          <w:szCs w:val="28"/>
        </w:rPr>
      </w:pPr>
    </w:p>
    <w:p>
      <w:pPr>
        <w:numPr>
          <w:ilvl w:val="0"/>
          <w:numId w:val="10"/>
        </w:numPr>
        <w:tabs>
          <w:tab w:val="left" w:pos="567"/>
        </w:tabs>
        <w:spacing w:line="300" w:lineRule="auto"/>
        <w:rPr>
          <w:rFonts w:ascii="Arial" w:hAnsi="Arial" w:cs="Arial"/>
          <w:b/>
          <w:bCs/>
        </w:rPr>
      </w:pPr>
      <w:r>
        <w:rPr>
          <w:rFonts w:hint="eastAsia" w:ascii="Arial" w:hAnsi="Arial" w:cs="Arial"/>
          <w:b/>
          <w:bCs/>
        </w:rPr>
        <w:t>评　标</w:t>
      </w:r>
    </w:p>
    <w:p>
      <w:pPr>
        <w:spacing w:line="300" w:lineRule="auto"/>
        <w:rPr>
          <w:rFonts w:hint="eastAsia" w:ascii="Arial" w:hAnsi="Arial" w:cs="Arial"/>
          <w:lang w:eastAsia="zh-CN"/>
        </w:rPr>
      </w:pPr>
      <w:r>
        <w:rPr>
          <w:rFonts w:ascii="Arial" w:hAnsi="Arial" w:cs="Arial"/>
        </w:rPr>
        <w:t xml:space="preserve">          </w:t>
      </w:r>
      <w:r>
        <w:rPr>
          <w:rFonts w:hint="eastAsia" w:ascii="Arial" w:hAnsi="Arial" w:cs="Arial"/>
        </w:rPr>
        <w:t>评标工作由甲方组成评标小组对投标人提交的方案及报价进行评标方法</w:t>
      </w:r>
      <w:r>
        <w:rPr>
          <w:rFonts w:hint="eastAsia" w:ascii="Arial" w:hAnsi="Arial" w:cs="Arial"/>
          <w:lang w:eastAsia="zh-CN"/>
        </w:rPr>
        <w:t>，</w:t>
      </w:r>
      <w:r>
        <w:rPr>
          <w:rFonts w:hint="eastAsia" w:ascii="Arial" w:hAnsi="Arial" w:cs="Arial"/>
        </w:rPr>
        <w:t>本次招标的评标方法采用综合评分方法。</w:t>
      </w:r>
    </w:p>
    <w:tbl>
      <w:tblPr>
        <w:tblStyle w:val="8"/>
        <w:tblW w:w="91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2352"/>
        <w:gridCol w:w="5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评审因素</w:t>
            </w:r>
          </w:p>
        </w:tc>
        <w:tc>
          <w:tcPr>
            <w:tcW w:w="7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分值构成</w:t>
            </w:r>
          </w:p>
        </w:tc>
        <w:tc>
          <w:tcPr>
            <w:tcW w:w="795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商务部分20分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技术部分20分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报价得分60分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商务部分</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企业实力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w:t>
            </w:r>
          </w:p>
        </w:tc>
        <w:tc>
          <w:tcPr>
            <w:tcW w:w="56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投标人具有由国家认证认机构或国家相关部门颁发并在有效期内的质量管理体系认证证书、环境管理体系认证证书的，每提供一证书得1分，最高得2分。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注：须提供在有效期内的证书复印件或截图复印件，加盖投标人公章。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项目业绩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（18分）</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自2019年1月1日（以合同签订时间为准）至今完成过或正在服务的消防维保类项目合同，合同年金额达20万（含）-50万（不含）的每个得2分，合同年金额达50万（含）-100万元（不含）的每个得4分，合同年金额达100万（含）或以上的每个得4分。另提供大学类似业绩且</w:t>
            </w:r>
            <w:r>
              <w:rPr>
                <w:rFonts w:hint="eastAsia" w:ascii="宋体" w:hAnsi="宋体" w:cs="宋体"/>
                <w:sz w:val="21"/>
                <w:szCs w:val="21"/>
              </w:rPr>
              <w:t>校园占地</w:t>
            </w:r>
            <w:r>
              <w:rPr>
                <w:rFonts w:hint="eastAsia" w:ascii="宋体" w:hAnsi="宋体" w:cs="宋体"/>
                <w:sz w:val="21"/>
                <w:szCs w:val="21"/>
                <w:lang w:val="en-US" w:eastAsia="zh-CN"/>
              </w:rPr>
              <w:t>450</w:t>
            </w:r>
            <w:r>
              <w:rPr>
                <w:rFonts w:hint="eastAsia" w:ascii="宋体" w:hAnsi="宋体" w:cs="宋体"/>
                <w:sz w:val="21"/>
                <w:szCs w:val="21"/>
              </w:rPr>
              <w:t>亩</w:t>
            </w:r>
            <w:r>
              <w:rPr>
                <w:rFonts w:hint="eastAsia" w:ascii="宋体" w:hAnsi="宋体" w:eastAsia="宋体" w:cs="宋体"/>
                <w:i w:val="0"/>
                <w:iCs w:val="0"/>
                <w:color w:val="000000"/>
                <w:kern w:val="0"/>
                <w:sz w:val="20"/>
                <w:szCs w:val="20"/>
                <w:u w:val="none"/>
                <w:lang w:val="en-US" w:eastAsia="zh-CN" w:bidi="ar"/>
              </w:rPr>
              <w:t>以上合同案例，每提供一个得4分累计8分，本项满分为18分。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分依据：须提供合同复印件(需包含合同项目名称、合同金额、签订时间双方落款盖章和合同期限等关键内容)及相关资料并加盖投标人公章,所提供的资料必须能清晰明确辨别该业绩的项目金额,否则作无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注：须提供合同关键页复印件，加盖投标人公章。注：投标文件提供合同关键页复印件加盖供应商公章。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6"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技术部分</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总体服务方案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管理规章制度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（5分）</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根据投标人提供的总体维保服务方案完整性、可行性，合理性进行综合评审：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1、总体维保管理服务方案完整合理、可行性强，合理性高得5分；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2、总体维保管理服务方案比较完整、合理性较高，可行性较高，得4分；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3、总体维保管理服务方案完整的，可行性差的，得1分；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4、未提供对应方案不得分。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根据投标人的日常维护管理、岗位责任、操作员管理等各项制度的完整性、合理性进行横向综合评审：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1、具有完整、合理的维护管理、岗位责任、操作员管理等各项制度，得5分；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2、具有合理的维护管理、岗位责任、操作管理等各项制度，但描述不完整的，得3分；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3、维护管理、岗位责任、操作员管理等各项制度描述不完整、不合理的，得1分；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4、未提供对应方案不得分。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12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项目团队资质（10分）</w:t>
            </w:r>
          </w:p>
        </w:tc>
        <w:tc>
          <w:tcPr>
            <w:tcW w:w="56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①拟投入本项目负责人具有一级建造师证（机电专业）得3分，无不得分。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②拟投入本项目技术人员具有中级或安全员证以上职称的8人以上，最高得5分。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③拟投入本项目其他人员具有安全员证，每个证得1分，该项最高2分。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提供以下证明材料：（1）以上人员证书，一人有多证的情况，只算一次；（2）与供应商签订的劳动合同或供应商为其购买开标当月前三个月内任意一个月的社保证明及雇主责任保险单）及社会消防服务信息系统备案截图；（3）以上资料需要提供复印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投标报价</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投标报价得分(60分)</w:t>
            </w:r>
          </w:p>
        </w:tc>
        <w:tc>
          <w:tcPr>
            <w:tcW w:w="56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以有效的各投标人的含税总报价的算术平均价作为评标基准价，价格得分保留小数点后两位数, 报价得分公式如下：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高于基准价的投标人的价格评分=60%*[100-（X-Y）/Y×100×0.8]，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低于基准价的投标人的价格评分=60%*[100-（Y-X）/Y×100×0.2]，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X：进入价格评比的某投标人的含税总报价；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Y：评标基准价（进入价格评比有效的各投标人的算术平均价）。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注说明：含税报价超过预算视为无效投标；评标委员会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委员会应当将其作为无效投标处理。</w:t>
            </w:r>
          </w:p>
        </w:tc>
      </w:tr>
    </w:tbl>
    <w:p>
      <w:pPr>
        <w:spacing w:line="300" w:lineRule="auto"/>
        <w:rPr>
          <w:rFonts w:hint="eastAsia" w:ascii="Arial" w:hAnsi="Arial" w:cs="Arial"/>
          <w:lang w:eastAsia="zh-CN"/>
        </w:rPr>
      </w:pPr>
    </w:p>
    <w:p>
      <w:pPr>
        <w:spacing w:line="300" w:lineRule="auto"/>
        <w:ind w:left="1080"/>
        <w:rPr>
          <w:rFonts w:ascii="Arial" w:hAnsi="Arial" w:cs="Arial"/>
        </w:rPr>
      </w:pPr>
    </w:p>
    <w:p>
      <w:pPr>
        <w:numPr>
          <w:ilvl w:val="0"/>
          <w:numId w:val="10"/>
        </w:numPr>
        <w:tabs>
          <w:tab w:val="left" w:pos="567"/>
        </w:tabs>
        <w:spacing w:line="300" w:lineRule="auto"/>
        <w:rPr>
          <w:rFonts w:ascii="Arial" w:hAnsi="Arial" w:cs="Arial"/>
          <w:b/>
          <w:bCs/>
        </w:rPr>
      </w:pPr>
      <w:r>
        <w:rPr>
          <w:rFonts w:hint="eastAsia" w:ascii="Arial" w:hAnsi="Arial" w:cs="Arial"/>
          <w:b/>
          <w:bCs/>
        </w:rPr>
        <w:t>中标条件</w:t>
      </w:r>
    </w:p>
    <w:p>
      <w:pPr>
        <w:numPr>
          <w:ilvl w:val="0"/>
          <w:numId w:val="14"/>
        </w:numPr>
        <w:spacing w:line="300" w:lineRule="auto"/>
        <w:rPr>
          <w:rFonts w:ascii="Arial" w:hAnsi="Arial"/>
          <w:szCs w:val="28"/>
        </w:rPr>
      </w:pPr>
      <w:r>
        <w:rPr>
          <w:rFonts w:hint="eastAsia" w:ascii="Arial" w:hAnsi="Arial"/>
          <w:szCs w:val="28"/>
        </w:rPr>
        <w:t>最大限度响应及满足本文件的要求。</w:t>
      </w:r>
    </w:p>
    <w:p>
      <w:pPr>
        <w:numPr>
          <w:ilvl w:val="0"/>
          <w:numId w:val="14"/>
        </w:numPr>
        <w:spacing w:line="300" w:lineRule="auto"/>
        <w:rPr>
          <w:rFonts w:ascii="Arial" w:hAnsi="Arial"/>
          <w:szCs w:val="28"/>
        </w:rPr>
      </w:pPr>
      <w:r>
        <w:rPr>
          <w:rFonts w:hint="eastAsia" w:ascii="Arial" w:hAnsi="Arial"/>
          <w:szCs w:val="28"/>
        </w:rPr>
        <w:t>报价较低且合理。甲方并不保证最低报价中标。</w:t>
      </w:r>
    </w:p>
    <w:p>
      <w:pPr>
        <w:numPr>
          <w:ilvl w:val="0"/>
          <w:numId w:val="14"/>
        </w:numPr>
        <w:spacing w:line="300" w:lineRule="auto"/>
        <w:rPr>
          <w:rFonts w:ascii="Arial" w:hAnsi="Arial"/>
          <w:szCs w:val="28"/>
        </w:rPr>
      </w:pPr>
      <w:r>
        <w:rPr>
          <w:rFonts w:hint="eastAsia" w:ascii="Arial" w:hAnsi="Arial"/>
          <w:szCs w:val="28"/>
        </w:rPr>
        <w:t>保养组织方案科学、合理。</w:t>
      </w:r>
    </w:p>
    <w:p>
      <w:pPr>
        <w:numPr>
          <w:ilvl w:val="0"/>
          <w:numId w:val="14"/>
        </w:numPr>
        <w:spacing w:line="300" w:lineRule="auto"/>
        <w:rPr>
          <w:rFonts w:ascii="Arial" w:hAnsi="Arial"/>
          <w:szCs w:val="28"/>
        </w:rPr>
      </w:pPr>
      <w:r>
        <w:rPr>
          <w:rFonts w:hint="eastAsia" w:ascii="Arial" w:hAnsi="Arial"/>
          <w:szCs w:val="28"/>
        </w:rPr>
        <w:t>未按业主要求报价</w:t>
      </w:r>
      <w:r>
        <w:rPr>
          <w:rFonts w:ascii="Arial" w:hAnsi="Arial"/>
          <w:szCs w:val="28"/>
        </w:rPr>
        <w:t>,</w:t>
      </w:r>
      <w:r>
        <w:rPr>
          <w:rFonts w:hint="eastAsia" w:ascii="Arial" w:hAnsi="Arial"/>
          <w:szCs w:val="28"/>
        </w:rPr>
        <w:t>经业主确认后</w:t>
      </w:r>
      <w:r>
        <w:rPr>
          <w:rFonts w:ascii="Arial" w:hAnsi="Arial"/>
          <w:szCs w:val="28"/>
        </w:rPr>
        <w:t>,</w:t>
      </w:r>
      <w:r>
        <w:rPr>
          <w:rFonts w:hint="eastAsia" w:ascii="Arial" w:hAnsi="Arial"/>
          <w:szCs w:val="28"/>
        </w:rPr>
        <w:t>则做废标处理。</w:t>
      </w:r>
    </w:p>
    <w:p>
      <w:pPr>
        <w:numPr>
          <w:ilvl w:val="0"/>
          <w:numId w:val="14"/>
        </w:numPr>
        <w:tabs>
          <w:tab w:val="left" w:pos="1140"/>
        </w:tabs>
        <w:spacing w:line="300" w:lineRule="auto"/>
        <w:rPr>
          <w:rFonts w:ascii="Arial" w:hAnsi="Arial"/>
          <w:szCs w:val="28"/>
        </w:rPr>
      </w:pPr>
      <w:r>
        <w:rPr>
          <w:rFonts w:hint="eastAsia" w:ascii="Arial" w:hAnsi="Arial"/>
          <w:szCs w:val="28"/>
        </w:rPr>
        <w:t>工程遗漏项目报价</w:t>
      </w:r>
      <w:r>
        <w:rPr>
          <w:rFonts w:ascii="Arial" w:hAnsi="Arial"/>
          <w:szCs w:val="28"/>
        </w:rPr>
        <w:t>,</w:t>
      </w:r>
      <w:r>
        <w:rPr>
          <w:rFonts w:hint="eastAsia" w:ascii="Arial" w:hAnsi="Arial"/>
          <w:szCs w:val="28"/>
        </w:rPr>
        <w:t>故意造成总价偏低者</w:t>
      </w:r>
      <w:r>
        <w:rPr>
          <w:rFonts w:ascii="Arial" w:hAnsi="Arial"/>
          <w:szCs w:val="28"/>
        </w:rPr>
        <w:t>,</w:t>
      </w:r>
      <w:r>
        <w:rPr>
          <w:rFonts w:hint="eastAsia" w:ascii="Arial" w:hAnsi="Arial"/>
          <w:szCs w:val="28"/>
        </w:rPr>
        <w:t>业主确认后</w:t>
      </w:r>
      <w:r>
        <w:rPr>
          <w:rFonts w:ascii="Arial" w:hAnsi="Arial"/>
          <w:szCs w:val="28"/>
        </w:rPr>
        <w:t>,</w:t>
      </w:r>
      <w:r>
        <w:rPr>
          <w:rFonts w:hint="eastAsia" w:ascii="Arial" w:hAnsi="Arial"/>
          <w:szCs w:val="28"/>
        </w:rPr>
        <w:t>则做废标处理</w:t>
      </w:r>
      <w:r>
        <w:rPr>
          <w:rFonts w:hint="eastAsia" w:ascii="Arial" w:hAnsi="Arial"/>
          <w:szCs w:val="28"/>
          <w:lang w:eastAsia="zh-CN"/>
        </w:rPr>
        <w:t>。</w:t>
      </w:r>
    </w:p>
    <w:p>
      <w:pPr>
        <w:spacing w:line="300" w:lineRule="auto"/>
        <w:rPr>
          <w:rFonts w:ascii="Arial" w:hAnsi="Arial" w:cs="Arial"/>
        </w:rPr>
      </w:pPr>
    </w:p>
    <w:p>
      <w:pPr>
        <w:numPr>
          <w:ilvl w:val="0"/>
          <w:numId w:val="10"/>
        </w:numPr>
        <w:tabs>
          <w:tab w:val="left" w:pos="567"/>
        </w:tabs>
        <w:spacing w:line="300" w:lineRule="auto"/>
        <w:rPr>
          <w:rFonts w:ascii="Arial" w:hAnsi="Arial" w:cs="Arial"/>
          <w:b/>
          <w:bCs/>
        </w:rPr>
      </w:pPr>
      <w:r>
        <w:rPr>
          <w:rFonts w:hint="eastAsia" w:ascii="Arial" w:hAnsi="Arial" w:cs="Arial"/>
          <w:b/>
          <w:bCs/>
        </w:rPr>
        <w:t>合同签订</w:t>
      </w:r>
    </w:p>
    <w:p>
      <w:pPr>
        <w:numPr>
          <w:ilvl w:val="0"/>
          <w:numId w:val="15"/>
        </w:numPr>
        <w:spacing w:line="300" w:lineRule="auto"/>
        <w:rPr>
          <w:rFonts w:ascii="Arial" w:hAnsi="Arial"/>
          <w:szCs w:val="28"/>
        </w:rPr>
      </w:pPr>
      <w:r>
        <w:rPr>
          <w:rFonts w:hint="eastAsia" w:ascii="Arial" w:hAnsi="Arial"/>
          <w:szCs w:val="28"/>
        </w:rPr>
        <w:t>确定中标人后，招标人将颁发《中标通知书》给中标人并与中标单位签定合同。</w:t>
      </w:r>
    </w:p>
    <w:p>
      <w:pPr>
        <w:numPr>
          <w:ilvl w:val="0"/>
          <w:numId w:val="15"/>
        </w:numPr>
        <w:spacing w:line="300" w:lineRule="auto"/>
        <w:rPr>
          <w:rFonts w:ascii="Arial" w:hAnsi="Arial"/>
          <w:szCs w:val="28"/>
        </w:rPr>
      </w:pPr>
      <w:r>
        <w:rPr>
          <w:rFonts w:hint="eastAsia" w:ascii="Arial" w:hAnsi="Arial"/>
          <w:szCs w:val="28"/>
        </w:rPr>
        <w:t>确定中标的投标单位若放弃合同，将被招标人永远取消供应商资格。</w:t>
      </w:r>
    </w:p>
    <w:p>
      <w:pPr>
        <w:tabs>
          <w:tab w:val="left" w:pos="540"/>
        </w:tabs>
        <w:spacing w:line="300" w:lineRule="auto"/>
        <w:rPr>
          <w:rFonts w:ascii="Arial" w:hAnsi="Arial"/>
          <w:b/>
          <w:szCs w:val="28"/>
        </w:rPr>
      </w:pPr>
    </w:p>
    <w:p>
      <w:pPr>
        <w:numPr>
          <w:ilvl w:val="0"/>
          <w:numId w:val="10"/>
        </w:numPr>
        <w:tabs>
          <w:tab w:val="left" w:pos="567"/>
        </w:tabs>
        <w:spacing w:line="300" w:lineRule="auto"/>
        <w:rPr>
          <w:rFonts w:ascii="Arial" w:hAnsi="Arial" w:cs="Arial"/>
          <w:b/>
          <w:bCs/>
        </w:rPr>
      </w:pPr>
      <w:r>
        <w:rPr>
          <w:rFonts w:hint="eastAsia" w:ascii="Arial" w:hAnsi="Arial" w:cs="Arial"/>
          <w:b/>
          <w:bCs/>
        </w:rPr>
        <w:t>工程款支付</w:t>
      </w:r>
    </w:p>
    <w:p>
      <w:pPr>
        <w:tabs>
          <w:tab w:val="center" w:pos="180"/>
        </w:tabs>
        <w:spacing w:line="300" w:lineRule="auto"/>
        <w:rPr>
          <w:rFonts w:ascii="Tahoma" w:hAnsi="Tahoma" w:cs="Tahoma"/>
        </w:rPr>
      </w:pPr>
      <w:r>
        <w:rPr>
          <w:rFonts w:ascii="宋体" w:hAnsi="宋体"/>
        </w:rPr>
        <w:t xml:space="preserve">     </w:t>
      </w:r>
      <w:r>
        <w:rPr>
          <w:rFonts w:hint="eastAsia" w:ascii="宋体" w:hAnsi="宋体"/>
        </w:rPr>
        <w:t>经双方确认，工程维护费分四期每季度支付，中标方需完成合同中每季度项目（甲方工程师确认）维修保养内容，招标方在每季度收到中标方的付款申请和发票后</w:t>
      </w:r>
      <w:r>
        <w:rPr>
          <w:rFonts w:ascii="宋体"/>
        </w:rPr>
        <w:t>,</w:t>
      </w:r>
      <w:r>
        <w:rPr>
          <w:rFonts w:hint="eastAsia" w:ascii="宋体" w:hAnsi="宋体"/>
        </w:rPr>
        <w:t>于</w:t>
      </w:r>
      <w:r>
        <w:rPr>
          <w:rFonts w:ascii="宋体" w:hAnsi="宋体"/>
        </w:rPr>
        <w:t>15</w:t>
      </w:r>
      <w:r>
        <w:rPr>
          <w:rFonts w:hint="eastAsia" w:ascii="宋体" w:hAnsi="宋体"/>
        </w:rPr>
        <w:t>日内支付中标方上一季度维护保养费，甲方有权拒付存在争议的服务费并有权扣除乙方应付的任何违约金、罚款及费用。</w:t>
      </w:r>
      <w:r>
        <w:rPr>
          <w:rFonts w:ascii="Tahoma" w:hAnsi="Tahoma" w:cs="Tahoma"/>
        </w:rPr>
        <w:t>******************************</w:t>
      </w:r>
      <w:r>
        <w:rPr>
          <w:rFonts w:hint="eastAsia" w:ascii="Arial" w:hAnsi="Arial" w:cs="Tahoma"/>
          <w:b/>
          <w:bCs/>
          <w:color w:val="000080"/>
        </w:rPr>
        <w:t>以上</w:t>
      </w:r>
      <w:r>
        <w:rPr>
          <w:rFonts w:ascii="Arial" w:hAnsi="Arial" w:cs="Tahoma"/>
          <w:b/>
          <w:bCs/>
          <w:color w:val="000080"/>
        </w:rPr>
        <w:t>.</w:t>
      </w:r>
      <w:r>
        <w:rPr>
          <w:rFonts w:ascii="Tahoma" w:hAnsi="Tahoma" w:cs="Tahoma"/>
        </w:rPr>
        <w:t>*****************************</w:t>
      </w: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spacing w:line="360" w:lineRule="auto"/>
        <w:rPr>
          <w:rFonts w:ascii="Tahoma" w:hAnsi="Tahoma" w:cs="Tahoma"/>
        </w:rPr>
      </w:pPr>
      <w:r>
        <w:rPr>
          <w:rFonts w:hint="eastAsia" w:ascii="黑体" w:hAnsi="黑体" w:eastAsia="黑体" w:cs="Tahoma"/>
          <w:sz w:val="32"/>
          <w:szCs w:val="32"/>
        </w:rPr>
        <w:t>附件一：</w:t>
      </w:r>
      <w:r>
        <w:rPr>
          <w:rFonts w:ascii="黑体" w:hAnsi="黑体" w:eastAsia="黑体" w:cs="Tahoma"/>
          <w:sz w:val="32"/>
          <w:szCs w:val="32"/>
        </w:rPr>
        <w:t>20</w:t>
      </w:r>
      <w:r>
        <w:rPr>
          <w:rFonts w:hint="eastAsia" w:ascii="黑体" w:hAnsi="黑体" w:eastAsia="黑体" w:cs="Tahoma"/>
          <w:sz w:val="32"/>
          <w:szCs w:val="32"/>
          <w:lang w:val="en-US" w:eastAsia="zh-CN"/>
        </w:rPr>
        <w:t>24</w:t>
      </w:r>
      <w:r>
        <w:rPr>
          <w:rFonts w:ascii="黑体" w:hAnsi="黑体" w:eastAsia="黑体" w:cs="Tahoma"/>
          <w:sz w:val="32"/>
          <w:szCs w:val="32"/>
        </w:rPr>
        <w:t>-20</w:t>
      </w:r>
      <w:r>
        <w:rPr>
          <w:rFonts w:hint="eastAsia" w:ascii="黑体" w:hAnsi="黑体" w:eastAsia="黑体" w:cs="Tahoma"/>
          <w:sz w:val="32"/>
          <w:szCs w:val="32"/>
          <w:lang w:val="en-US" w:eastAsia="zh-CN"/>
        </w:rPr>
        <w:t>25</w:t>
      </w:r>
      <w:r>
        <w:rPr>
          <w:rFonts w:hint="eastAsia" w:ascii="黑体" w:hAnsi="黑体" w:eastAsia="黑体" w:cs="Tahoma"/>
          <w:sz w:val="32"/>
          <w:szCs w:val="32"/>
        </w:rPr>
        <w:t>消防设施维护保养工程量清单</w:t>
      </w:r>
    </w:p>
    <w:p>
      <w:pPr>
        <w:spacing w:line="360" w:lineRule="auto"/>
        <w:ind w:firstLine="640" w:firstLineChars="200"/>
        <w:jc w:val="both"/>
        <w:rPr>
          <w:rFonts w:ascii="仿宋_GB2312" w:hAnsi="宋体" w:eastAsia="仿宋_GB2312" w:cs="宋体"/>
          <w:color w:val="auto"/>
          <w:sz w:val="32"/>
          <w:szCs w:val="32"/>
        </w:rPr>
      </w:pPr>
      <w:r>
        <w:rPr>
          <w:rFonts w:ascii="仿宋_GB2312" w:hAnsi="宋体" w:eastAsia="仿宋_GB2312" w:cs="宋体"/>
          <w:color w:val="auto"/>
          <w:sz w:val="32"/>
          <w:szCs w:val="32"/>
        </w:rPr>
        <w:t>1.</w:t>
      </w:r>
      <w:r>
        <w:rPr>
          <w:rFonts w:hint="eastAsia" w:ascii="仿宋_GB2312" w:hAnsi="宋体" w:eastAsia="仿宋_GB2312" w:cs="宋体"/>
          <w:color w:val="auto"/>
          <w:sz w:val="32"/>
          <w:szCs w:val="32"/>
        </w:rPr>
        <w:t>火灾自动报警系统</w:t>
      </w:r>
      <w:r>
        <w:rPr>
          <w:rFonts w:ascii="仿宋_GB2312" w:hAnsi="宋体" w:eastAsia="仿宋_GB2312" w:cs="宋体"/>
          <w:color w:val="auto"/>
          <w:sz w:val="32"/>
          <w:szCs w:val="32"/>
        </w:rPr>
        <w:t>(</w:t>
      </w:r>
      <w:r>
        <w:rPr>
          <w:rFonts w:hint="eastAsia" w:ascii="仿宋_GB2312" w:hAnsi="仿宋_GB2312" w:eastAsia="仿宋_GB2312" w:cs="仿宋_GB2312"/>
          <w:sz w:val="32"/>
          <w:szCs w:val="32"/>
          <w:lang w:val="en-US" w:eastAsia="zh-CN"/>
        </w:rPr>
        <w:t>4305</w:t>
      </w:r>
      <w:r>
        <w:rPr>
          <w:rFonts w:hint="eastAsia" w:ascii="仿宋_GB2312" w:hAnsi="仿宋_GB2312" w:eastAsia="仿宋_GB2312" w:cs="仿宋_GB2312"/>
          <w:sz w:val="32"/>
          <w:szCs w:val="32"/>
        </w:rPr>
        <w:t> 个点</w:t>
      </w:r>
      <w:r>
        <w:rPr>
          <w:rFonts w:ascii="仿宋_GB2312" w:hAnsi="宋体" w:eastAsia="仿宋_GB2312" w:cs="宋体"/>
          <w:color w:val="auto"/>
          <w:sz w:val="32"/>
          <w:szCs w:val="32"/>
        </w:rPr>
        <w:t>)</w:t>
      </w:r>
    </w:p>
    <w:p>
      <w:pPr>
        <w:spacing w:line="360" w:lineRule="auto"/>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火灾自动报警主机、探测器、模块、线路、报警按钮等。</w:t>
      </w:r>
    </w:p>
    <w:p>
      <w:pPr>
        <w:spacing w:line="360" w:lineRule="auto"/>
        <w:ind w:firstLine="640" w:firstLineChars="200"/>
        <w:jc w:val="both"/>
        <w:rPr>
          <w:rFonts w:ascii="仿宋_GB2312" w:hAnsi="宋体" w:eastAsia="仿宋_GB2312" w:cs="宋体"/>
          <w:color w:val="auto"/>
          <w:sz w:val="32"/>
          <w:szCs w:val="32"/>
        </w:rPr>
      </w:pPr>
      <w:r>
        <w:rPr>
          <w:rFonts w:ascii="仿宋_GB2312" w:hAnsi="宋体" w:eastAsia="仿宋_GB2312" w:cs="宋体"/>
          <w:color w:val="auto"/>
          <w:sz w:val="32"/>
          <w:szCs w:val="32"/>
        </w:rPr>
        <w:t>2.</w:t>
      </w:r>
      <w:r>
        <w:rPr>
          <w:rFonts w:hint="eastAsia" w:ascii="仿宋_GB2312" w:hAnsi="宋体" w:eastAsia="仿宋_GB2312" w:cs="宋体"/>
          <w:color w:val="auto"/>
          <w:sz w:val="32"/>
          <w:szCs w:val="32"/>
        </w:rPr>
        <w:t>消火栓系统</w:t>
      </w:r>
    </w:p>
    <w:p>
      <w:pPr>
        <w:spacing w:line="360" w:lineRule="auto"/>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消防水箱、消防水泵（</w:t>
      </w:r>
      <w:r>
        <w:rPr>
          <w:rFonts w:ascii="仿宋_GB2312" w:hAnsi="宋体" w:eastAsia="仿宋_GB2312" w:cs="宋体"/>
          <w:color w:val="auto"/>
          <w:sz w:val="32"/>
          <w:szCs w:val="32"/>
        </w:rPr>
        <w:t>4</w:t>
      </w:r>
      <w:r>
        <w:rPr>
          <w:rFonts w:hint="eastAsia" w:ascii="仿宋_GB2312" w:hAnsi="宋体" w:eastAsia="仿宋_GB2312" w:cs="宋体"/>
          <w:color w:val="auto"/>
          <w:sz w:val="32"/>
          <w:szCs w:val="32"/>
        </w:rPr>
        <w:t>套）、室内消火栓（室内</w:t>
      </w:r>
      <w:r>
        <w:rPr>
          <w:rFonts w:hint="eastAsia" w:ascii="仿宋_GB2312" w:hAnsi="宋体" w:eastAsia="仿宋_GB2312" w:cs="宋体"/>
          <w:color w:val="auto"/>
          <w:sz w:val="32"/>
          <w:szCs w:val="32"/>
          <w:lang w:val="en-US" w:eastAsia="zh-CN"/>
        </w:rPr>
        <w:t>2040</w:t>
      </w:r>
      <w:r>
        <w:rPr>
          <w:rFonts w:hint="eastAsia" w:ascii="仿宋_GB2312" w:hAnsi="宋体" w:eastAsia="仿宋_GB2312" w:cs="宋体"/>
          <w:color w:val="auto"/>
          <w:sz w:val="32"/>
          <w:szCs w:val="32"/>
        </w:rPr>
        <w:t>套）、室外消火栓（室外</w:t>
      </w:r>
      <w:r>
        <w:rPr>
          <w:rFonts w:hint="eastAsia" w:ascii="仿宋_GB2312" w:hAnsi="宋体" w:eastAsia="仿宋_GB2312" w:cs="宋体"/>
          <w:color w:val="auto"/>
          <w:sz w:val="32"/>
          <w:szCs w:val="32"/>
          <w:lang w:val="en-US" w:eastAsia="zh-CN"/>
        </w:rPr>
        <w:t>47</w:t>
      </w:r>
      <w:r>
        <w:rPr>
          <w:rFonts w:hint="eastAsia" w:ascii="仿宋_GB2312" w:hAnsi="宋体" w:eastAsia="仿宋_GB2312" w:cs="宋体"/>
          <w:color w:val="auto"/>
          <w:sz w:val="32"/>
          <w:szCs w:val="32"/>
        </w:rPr>
        <w:t>套）、管道、阀门等。</w:t>
      </w:r>
    </w:p>
    <w:p>
      <w:pPr>
        <w:spacing w:line="360" w:lineRule="auto"/>
        <w:ind w:firstLine="640" w:firstLineChars="200"/>
        <w:jc w:val="both"/>
        <w:rPr>
          <w:rFonts w:ascii="仿宋_GB2312" w:hAnsi="宋体" w:eastAsia="仿宋_GB2312" w:cs="宋体"/>
          <w:color w:val="auto"/>
          <w:sz w:val="32"/>
          <w:szCs w:val="32"/>
        </w:rPr>
      </w:pPr>
      <w:r>
        <w:rPr>
          <w:rFonts w:ascii="仿宋_GB2312" w:hAnsi="宋体" w:eastAsia="仿宋_GB2312" w:cs="宋体"/>
          <w:color w:val="auto"/>
          <w:sz w:val="32"/>
          <w:szCs w:val="32"/>
        </w:rPr>
        <w:t>3.</w:t>
      </w:r>
      <w:r>
        <w:rPr>
          <w:rFonts w:hint="eastAsia" w:ascii="仿宋_GB2312" w:hAnsi="宋体" w:eastAsia="仿宋_GB2312" w:cs="宋体"/>
          <w:color w:val="auto"/>
          <w:sz w:val="32"/>
          <w:szCs w:val="32"/>
        </w:rPr>
        <w:t>自动喷淋系统（</w:t>
      </w:r>
      <w:r>
        <w:rPr>
          <w:rFonts w:ascii="仿宋_GB2312" w:hAnsi="宋体" w:eastAsia="仿宋_GB2312" w:cs="宋体"/>
          <w:color w:val="auto"/>
          <w:sz w:val="32"/>
          <w:szCs w:val="32"/>
        </w:rPr>
        <w:t>7</w:t>
      </w:r>
      <w:r>
        <w:rPr>
          <w:rFonts w:hint="eastAsia" w:ascii="仿宋_GB2312" w:hAnsi="宋体" w:eastAsia="仿宋_GB2312" w:cs="宋体"/>
          <w:color w:val="auto"/>
          <w:sz w:val="32"/>
          <w:szCs w:val="32"/>
        </w:rPr>
        <w:t>套）</w:t>
      </w:r>
    </w:p>
    <w:p>
      <w:pPr>
        <w:spacing w:line="360" w:lineRule="auto"/>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消防水箱、喷淋头、管道、阀门等</w:t>
      </w:r>
    </w:p>
    <w:p>
      <w:pPr>
        <w:spacing w:line="360" w:lineRule="auto"/>
        <w:ind w:firstLine="640" w:firstLineChars="200"/>
        <w:jc w:val="both"/>
        <w:rPr>
          <w:rFonts w:ascii="仿宋_GB2312" w:hAnsi="宋体" w:eastAsia="仿宋_GB2312" w:cs="宋体"/>
          <w:color w:val="auto"/>
          <w:sz w:val="32"/>
          <w:szCs w:val="32"/>
        </w:rPr>
      </w:pPr>
      <w:r>
        <w:rPr>
          <w:rFonts w:ascii="仿宋_GB2312" w:hAnsi="宋体" w:eastAsia="仿宋_GB2312" w:cs="宋体"/>
          <w:color w:val="auto"/>
          <w:sz w:val="32"/>
          <w:szCs w:val="32"/>
        </w:rPr>
        <w:t>4.</w:t>
      </w:r>
      <w:r>
        <w:rPr>
          <w:rFonts w:hint="eastAsia" w:ascii="仿宋_GB2312" w:hAnsi="宋体" w:eastAsia="仿宋_GB2312" w:cs="宋体"/>
          <w:color w:val="auto"/>
          <w:sz w:val="32"/>
          <w:szCs w:val="32"/>
        </w:rPr>
        <w:t>防火卷帘门（</w:t>
      </w:r>
      <w:r>
        <w:rPr>
          <w:rFonts w:hint="eastAsia" w:ascii="仿宋_GB2312" w:hAnsi="宋体" w:eastAsia="仿宋_GB2312" w:cs="宋体"/>
          <w:color w:val="auto"/>
          <w:sz w:val="32"/>
          <w:szCs w:val="32"/>
          <w:lang w:val="en-US" w:eastAsia="zh-CN"/>
        </w:rPr>
        <w:t>82</w:t>
      </w:r>
      <w:r>
        <w:rPr>
          <w:rFonts w:hint="eastAsia" w:ascii="仿宋_GB2312" w:hAnsi="宋体" w:eastAsia="仿宋_GB2312" w:cs="宋体"/>
          <w:color w:val="auto"/>
          <w:sz w:val="32"/>
          <w:szCs w:val="32"/>
        </w:rPr>
        <w:t>套）</w:t>
      </w:r>
    </w:p>
    <w:p>
      <w:pPr>
        <w:spacing w:line="360" w:lineRule="auto"/>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卷帘电机、卷帘门等</w:t>
      </w:r>
    </w:p>
    <w:p>
      <w:pPr>
        <w:spacing w:line="360" w:lineRule="auto"/>
        <w:ind w:firstLine="640" w:firstLineChars="200"/>
        <w:jc w:val="both"/>
        <w:rPr>
          <w:rFonts w:ascii="仿宋_GB2312" w:hAnsi="宋体" w:eastAsia="仿宋_GB2312" w:cs="宋体"/>
          <w:color w:val="auto"/>
          <w:sz w:val="32"/>
          <w:szCs w:val="32"/>
        </w:rPr>
      </w:pPr>
      <w:r>
        <w:rPr>
          <w:rFonts w:ascii="仿宋_GB2312" w:hAnsi="宋体" w:eastAsia="仿宋_GB2312" w:cs="宋体"/>
          <w:color w:val="auto"/>
          <w:sz w:val="32"/>
          <w:szCs w:val="32"/>
        </w:rPr>
        <w:t>5.</w:t>
      </w:r>
      <w:r>
        <w:rPr>
          <w:rFonts w:hint="eastAsia" w:ascii="仿宋_GB2312" w:hAnsi="宋体" w:eastAsia="仿宋_GB2312" w:cs="宋体"/>
          <w:color w:val="auto"/>
          <w:sz w:val="32"/>
          <w:szCs w:val="32"/>
        </w:rPr>
        <w:t>微型消防站设备</w:t>
      </w:r>
    </w:p>
    <w:p>
      <w:pPr>
        <w:spacing w:line="360" w:lineRule="auto"/>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空气呼吸器</w:t>
      </w:r>
      <w:r>
        <w:rPr>
          <w:rFonts w:ascii="仿宋_GB2312" w:hAnsi="宋体" w:eastAsia="仿宋_GB2312" w:cs="宋体"/>
          <w:color w:val="auto"/>
          <w:sz w:val="32"/>
          <w:szCs w:val="32"/>
        </w:rPr>
        <w:t>4</w:t>
      </w:r>
      <w:r>
        <w:rPr>
          <w:rFonts w:hint="eastAsia" w:ascii="仿宋_GB2312" w:hAnsi="宋体" w:eastAsia="仿宋_GB2312" w:cs="宋体"/>
          <w:color w:val="auto"/>
          <w:sz w:val="32"/>
          <w:szCs w:val="32"/>
        </w:rPr>
        <w:t>套等</w:t>
      </w:r>
    </w:p>
    <w:p>
      <w:pPr>
        <w:spacing w:line="360" w:lineRule="auto"/>
        <w:ind w:firstLine="640" w:firstLineChars="200"/>
        <w:jc w:val="both"/>
        <w:rPr>
          <w:rFonts w:ascii="仿宋_GB2312" w:hAnsi="宋体" w:eastAsia="仿宋_GB2312" w:cs="宋体"/>
          <w:color w:val="auto"/>
          <w:sz w:val="32"/>
          <w:szCs w:val="32"/>
        </w:rPr>
      </w:pPr>
      <w:r>
        <w:rPr>
          <w:rFonts w:ascii="仿宋_GB2312" w:hAnsi="宋体" w:eastAsia="仿宋_GB2312" w:cs="宋体"/>
          <w:color w:val="auto"/>
          <w:sz w:val="32"/>
          <w:szCs w:val="32"/>
        </w:rPr>
        <w:t>6.</w:t>
      </w:r>
      <w:r>
        <w:rPr>
          <w:rFonts w:hint="eastAsia" w:ascii="仿宋_GB2312" w:hAnsi="宋体" w:eastAsia="仿宋_GB2312" w:cs="宋体"/>
          <w:color w:val="auto"/>
          <w:sz w:val="32"/>
          <w:szCs w:val="32"/>
        </w:rPr>
        <w:t>其它消防设施设备</w:t>
      </w:r>
    </w:p>
    <w:p>
      <w:pPr>
        <w:spacing w:line="360" w:lineRule="auto"/>
        <w:ind w:firstLine="640" w:firstLineChars="200"/>
        <w:jc w:val="both"/>
        <w:rPr>
          <w:rFonts w:ascii="仿宋_GB2312" w:hAnsi="宋体" w:eastAsia="仿宋_GB2312" w:cs="Arial"/>
          <w:color w:val="auto"/>
          <w:sz w:val="32"/>
          <w:szCs w:val="32"/>
        </w:rPr>
      </w:pPr>
      <w:r>
        <w:rPr>
          <w:rFonts w:hint="eastAsia" w:ascii="仿宋_GB2312" w:hAnsi="宋体" w:eastAsia="仿宋_GB2312" w:cs="宋体"/>
          <w:color w:val="auto"/>
          <w:sz w:val="32"/>
          <w:szCs w:val="32"/>
          <w:lang w:val="en-US" w:eastAsia="zh-CN"/>
        </w:rPr>
        <w:t>防排烟设备</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val="en-US" w:eastAsia="zh-CN"/>
        </w:rPr>
        <w:t>49个</w:t>
      </w:r>
      <w:r>
        <w:rPr>
          <w:rFonts w:hint="eastAsia" w:ascii="仿宋_GB2312" w:hAnsi="宋体" w:eastAsia="仿宋_GB2312" w:cs="宋体"/>
          <w:color w:val="auto"/>
          <w:sz w:val="32"/>
          <w:szCs w:val="32"/>
        </w:rPr>
        <w:t>）、</w:t>
      </w:r>
      <w:r>
        <w:rPr>
          <w:rFonts w:hint="eastAsia" w:ascii="仿宋_GB2312" w:hAnsi="仿宋_GB2312" w:eastAsia="仿宋_GB2312" w:cs="仿宋_GB2312"/>
          <w:sz w:val="32"/>
          <w:szCs w:val="32"/>
        </w:rPr>
        <w:t>应急照明灯1844个、疏散指示牌3356个</w:t>
      </w:r>
      <w:r>
        <w:rPr>
          <w:rFonts w:hint="eastAsia" w:ascii="仿宋_GB2312" w:hAnsi="宋体" w:eastAsia="仿宋_GB2312" w:cs="宋体"/>
          <w:color w:val="auto"/>
          <w:sz w:val="32"/>
          <w:szCs w:val="32"/>
        </w:rPr>
        <w:t>、防火门（</w:t>
      </w:r>
      <w:r>
        <w:rPr>
          <w:rFonts w:ascii="仿宋_GB2312" w:hAnsi="宋体" w:eastAsia="仿宋_GB2312" w:cs="宋体"/>
          <w:color w:val="auto"/>
          <w:sz w:val="32"/>
          <w:szCs w:val="32"/>
        </w:rPr>
        <w:t>761</w:t>
      </w:r>
      <w:r>
        <w:rPr>
          <w:rFonts w:hint="eastAsia" w:ascii="仿宋_GB2312" w:hAnsi="宋体" w:eastAsia="仿宋_GB2312" w:cs="宋体"/>
          <w:color w:val="auto"/>
          <w:sz w:val="32"/>
          <w:szCs w:val="32"/>
        </w:rPr>
        <w:t>套）、灭火器（</w:t>
      </w:r>
      <w:r>
        <w:rPr>
          <w:rFonts w:hint="eastAsia" w:ascii="仿宋_GB2312" w:hAnsi="宋体" w:eastAsia="仿宋_GB2312" w:cs="宋体"/>
          <w:color w:val="auto"/>
          <w:sz w:val="32"/>
          <w:szCs w:val="32"/>
          <w:lang w:val="en-US" w:eastAsia="zh-CN"/>
        </w:rPr>
        <w:t>4080</w:t>
      </w:r>
      <w:r>
        <w:rPr>
          <w:rFonts w:hint="eastAsia" w:ascii="仿宋_GB2312" w:hAnsi="宋体" w:eastAsia="仿宋_GB2312" w:cs="宋体"/>
          <w:color w:val="auto"/>
          <w:sz w:val="32"/>
          <w:szCs w:val="32"/>
        </w:rPr>
        <w:t>个）、灭火器箱（</w:t>
      </w:r>
      <w:r>
        <w:rPr>
          <w:rFonts w:hint="eastAsia" w:ascii="仿宋_GB2312" w:hAnsi="宋体" w:eastAsia="仿宋_GB2312" w:cs="宋体"/>
          <w:color w:val="auto"/>
          <w:sz w:val="32"/>
          <w:szCs w:val="32"/>
          <w:lang w:val="en-US" w:eastAsia="zh-CN"/>
        </w:rPr>
        <w:t>2040</w:t>
      </w:r>
      <w:r>
        <w:rPr>
          <w:rFonts w:hint="eastAsia" w:ascii="仿宋_GB2312" w:hAnsi="宋体" w:eastAsia="仿宋_GB2312" w:cs="宋体"/>
          <w:color w:val="auto"/>
          <w:sz w:val="32"/>
          <w:szCs w:val="32"/>
        </w:rPr>
        <w:t>个）等</w:t>
      </w: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spacing w:line="360" w:lineRule="auto"/>
        <w:rPr>
          <w:rFonts w:ascii="Tahoma" w:hAnsi="Tahoma" w:cs="Tahoma"/>
        </w:rPr>
      </w:pPr>
    </w:p>
    <w:p>
      <w:pPr>
        <w:spacing w:line="360" w:lineRule="auto"/>
        <w:rPr>
          <w:rFonts w:ascii="Tahoma" w:hAnsi="Tahoma" w:cs="Tahoma"/>
        </w:rPr>
      </w:pPr>
    </w:p>
    <w:p>
      <w:pPr>
        <w:spacing w:line="360" w:lineRule="auto"/>
        <w:rPr>
          <w:rFonts w:ascii="Tahoma" w:hAnsi="Tahoma" w:cs="Tahoma"/>
        </w:rPr>
      </w:pPr>
    </w:p>
    <w:p>
      <w:pPr>
        <w:spacing w:line="360" w:lineRule="auto"/>
        <w:rPr>
          <w:rFonts w:ascii="Tahoma" w:hAnsi="Tahoma" w:cs="Tahoma"/>
        </w:rPr>
      </w:pPr>
    </w:p>
    <w:p>
      <w:pPr>
        <w:spacing w:line="360" w:lineRule="auto"/>
        <w:rPr>
          <w:rFonts w:hint="eastAsia" w:ascii="黑体" w:hAnsi="黑体" w:eastAsia="黑体" w:cs="Tahoma"/>
          <w:sz w:val="32"/>
          <w:szCs w:val="32"/>
        </w:rPr>
      </w:pPr>
    </w:p>
    <w:p>
      <w:pPr>
        <w:spacing w:line="360" w:lineRule="auto"/>
        <w:rPr>
          <w:rFonts w:hint="eastAsia" w:ascii="黑体" w:hAnsi="黑体" w:eastAsia="黑体" w:cs="Tahoma"/>
          <w:sz w:val="32"/>
          <w:szCs w:val="32"/>
        </w:rPr>
      </w:pPr>
    </w:p>
    <w:p>
      <w:pPr>
        <w:spacing w:line="360" w:lineRule="auto"/>
        <w:rPr>
          <w:rFonts w:hint="eastAsia" w:ascii="黑体" w:hAnsi="黑体" w:eastAsia="黑体" w:cs="Tahoma"/>
          <w:sz w:val="32"/>
          <w:szCs w:val="32"/>
        </w:rPr>
      </w:pPr>
    </w:p>
    <w:p>
      <w:pPr>
        <w:spacing w:line="360" w:lineRule="auto"/>
        <w:rPr>
          <w:rFonts w:hint="eastAsia" w:ascii="黑体" w:hAnsi="黑体" w:eastAsia="黑体" w:cs="Tahoma"/>
          <w:sz w:val="32"/>
          <w:szCs w:val="32"/>
        </w:rPr>
      </w:pPr>
    </w:p>
    <w:p>
      <w:pPr>
        <w:spacing w:line="360" w:lineRule="auto"/>
        <w:rPr>
          <w:rFonts w:hint="eastAsia" w:eastAsia="宋体"/>
          <w:lang w:val="en-US" w:eastAsia="zh-CN"/>
        </w:rPr>
      </w:pPr>
      <w:r>
        <w:rPr>
          <w:rFonts w:hint="eastAsia" w:ascii="黑体" w:hAnsi="黑体" w:eastAsia="黑体" w:cs="Tahoma"/>
          <w:sz w:val="32"/>
          <w:szCs w:val="32"/>
        </w:rPr>
        <w:t>附件二：评分细则如下：</w:t>
      </w:r>
    </w:p>
    <w:p>
      <w:pPr>
        <w:spacing w:line="360" w:lineRule="auto"/>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若系统发生故障，中标公司在接到通知后</w:t>
      </w:r>
      <w:r>
        <w:rPr>
          <w:rFonts w:ascii="仿宋_GB2312" w:hAnsi="宋体" w:eastAsia="仿宋_GB2312" w:cs="宋体"/>
          <w:sz w:val="32"/>
          <w:szCs w:val="32"/>
        </w:rPr>
        <w:t>2</w:t>
      </w:r>
      <w:r>
        <w:rPr>
          <w:rFonts w:hint="eastAsia" w:ascii="仿宋_GB2312" w:hAnsi="宋体" w:eastAsia="仿宋_GB2312" w:cs="宋体"/>
          <w:sz w:val="32"/>
          <w:szCs w:val="32"/>
        </w:rPr>
        <w:t>小时做出响应</w:t>
      </w:r>
      <w:r>
        <w:rPr>
          <w:rFonts w:ascii="仿宋_GB2312" w:hAnsi="宋体" w:eastAsia="仿宋_GB2312" w:cs="宋体"/>
          <w:sz w:val="32"/>
          <w:szCs w:val="32"/>
        </w:rPr>
        <w:t>,</w:t>
      </w:r>
      <w:r>
        <w:rPr>
          <w:rFonts w:hint="eastAsia" w:ascii="仿宋_GB2312" w:hAnsi="宋体" w:eastAsia="仿宋_GB2312" w:cs="宋体"/>
          <w:sz w:val="32"/>
          <w:szCs w:val="32"/>
        </w:rPr>
        <w:t>问题在</w:t>
      </w:r>
      <w:r>
        <w:rPr>
          <w:rFonts w:ascii="仿宋_GB2312" w:hAnsi="宋体" w:eastAsia="仿宋_GB2312" w:cs="宋体"/>
          <w:sz w:val="32"/>
          <w:szCs w:val="32"/>
        </w:rPr>
        <w:t>24</w:t>
      </w:r>
      <w:r>
        <w:rPr>
          <w:rFonts w:hint="eastAsia" w:ascii="仿宋_GB2312" w:hAnsi="宋体" w:eastAsia="仿宋_GB2312" w:cs="宋体"/>
          <w:sz w:val="32"/>
          <w:szCs w:val="32"/>
        </w:rPr>
        <w:t>小时之内解决</w:t>
      </w:r>
      <w:r>
        <w:rPr>
          <w:rFonts w:ascii="仿宋_GB2312" w:hAnsi="宋体" w:eastAsia="仿宋_GB2312" w:cs="宋体"/>
          <w:sz w:val="32"/>
          <w:szCs w:val="32"/>
        </w:rPr>
        <w:t>,</w:t>
      </w:r>
      <w:r>
        <w:rPr>
          <w:rFonts w:hint="eastAsia" w:ascii="仿宋_GB2312" w:hAnsi="宋体" w:eastAsia="仿宋_GB2312" w:cs="宋体"/>
          <w:sz w:val="32"/>
          <w:szCs w:val="32"/>
        </w:rPr>
        <w:t>没解决则按付款细则打分。</w:t>
      </w:r>
    </w:p>
    <w:tbl>
      <w:tblPr>
        <w:tblStyle w:val="8"/>
        <w:tblW w:w="0" w:type="auto"/>
        <w:tblInd w:w="0" w:type="dxa"/>
        <w:tblLayout w:type="autofit"/>
        <w:tblCellMar>
          <w:top w:w="0" w:type="dxa"/>
          <w:left w:w="108" w:type="dxa"/>
          <w:bottom w:w="0" w:type="dxa"/>
          <w:right w:w="108" w:type="dxa"/>
        </w:tblCellMar>
      </w:tblPr>
      <w:tblGrid>
        <w:gridCol w:w="525"/>
        <w:gridCol w:w="1616"/>
        <w:gridCol w:w="2030"/>
        <w:gridCol w:w="2361"/>
        <w:gridCol w:w="525"/>
        <w:gridCol w:w="673"/>
        <w:gridCol w:w="792"/>
      </w:tblGrid>
      <w:tr>
        <w:tblPrEx>
          <w:tblCellMar>
            <w:top w:w="0" w:type="dxa"/>
            <w:left w:w="108" w:type="dxa"/>
            <w:bottom w:w="0" w:type="dxa"/>
            <w:right w:w="108" w:type="dxa"/>
          </w:tblCellMar>
        </w:tblPrEx>
        <w:trPr>
          <w:trHeight w:val="49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b/>
                <w:bCs/>
                <w:sz w:val="22"/>
                <w:szCs w:val="20"/>
              </w:rPr>
            </w:pPr>
            <w:r>
              <w:rPr>
                <w:rFonts w:hint="eastAsia" w:ascii="宋体" w:hAnsi="宋体"/>
                <w:b/>
                <w:bCs/>
                <w:sz w:val="22"/>
                <w:szCs w:val="20"/>
              </w:rPr>
              <w:t>序号</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b/>
                <w:bCs/>
                <w:sz w:val="22"/>
                <w:szCs w:val="20"/>
              </w:rPr>
            </w:pPr>
            <w:r>
              <w:rPr>
                <w:rFonts w:hint="eastAsia" w:ascii="宋体" w:hAnsi="宋体"/>
                <w:b/>
                <w:bCs/>
                <w:sz w:val="22"/>
                <w:szCs w:val="20"/>
              </w:rPr>
              <w:t>项目</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b/>
                <w:bCs/>
                <w:sz w:val="22"/>
                <w:szCs w:val="20"/>
              </w:rPr>
            </w:pPr>
            <w:r>
              <w:rPr>
                <w:rFonts w:hint="eastAsia" w:ascii="宋体" w:hAnsi="宋体"/>
                <w:b/>
                <w:bCs/>
                <w:sz w:val="22"/>
                <w:szCs w:val="20"/>
              </w:rPr>
              <w:t>要求</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b/>
                <w:bCs/>
                <w:sz w:val="22"/>
                <w:szCs w:val="20"/>
              </w:rPr>
            </w:pPr>
            <w:r>
              <w:rPr>
                <w:rFonts w:hint="eastAsia" w:ascii="宋体" w:hAnsi="宋体"/>
                <w:b/>
                <w:bCs/>
                <w:sz w:val="22"/>
                <w:szCs w:val="20"/>
              </w:rPr>
              <w:t>未达要求</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b/>
                <w:bCs/>
                <w:sz w:val="22"/>
                <w:szCs w:val="20"/>
              </w:rPr>
            </w:pPr>
            <w:r>
              <w:rPr>
                <w:rFonts w:hint="eastAsia" w:ascii="宋体" w:hAnsi="宋体"/>
                <w:b/>
                <w:bCs/>
                <w:sz w:val="22"/>
                <w:szCs w:val="20"/>
              </w:rPr>
              <w:t>备注</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b/>
                <w:bCs/>
                <w:sz w:val="22"/>
                <w:szCs w:val="20"/>
              </w:rPr>
            </w:pPr>
            <w:r>
              <w:rPr>
                <w:rFonts w:hint="eastAsia" w:ascii="宋体" w:hAnsi="宋体"/>
                <w:b/>
                <w:bCs/>
                <w:sz w:val="22"/>
                <w:szCs w:val="20"/>
              </w:rPr>
              <w:t>总分值</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b/>
                <w:bCs/>
                <w:sz w:val="22"/>
                <w:szCs w:val="20"/>
              </w:rPr>
            </w:pPr>
            <w:r>
              <w:rPr>
                <w:rFonts w:hint="eastAsia" w:ascii="宋体" w:hAnsi="宋体"/>
                <w:b/>
                <w:bCs/>
                <w:sz w:val="22"/>
                <w:szCs w:val="20"/>
              </w:rPr>
              <w:t>确认是否满分</w:t>
            </w:r>
          </w:p>
        </w:tc>
      </w:tr>
      <w:tr>
        <w:tblPrEx>
          <w:tblCellMar>
            <w:top w:w="0" w:type="dxa"/>
            <w:left w:w="108" w:type="dxa"/>
            <w:bottom w:w="0" w:type="dxa"/>
            <w:right w:w="108" w:type="dxa"/>
          </w:tblCellMar>
        </w:tblPrEx>
        <w:trPr>
          <w:trHeight w:val="799"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1</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火灾自动联网报警系统</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正常工作，发生故障24小时内解决</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故障每过24小时扣除1-5分</w:t>
            </w:r>
          </w:p>
        </w:tc>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sz w:val="22"/>
                <w:szCs w:val="20"/>
              </w:rPr>
            </w:pPr>
            <w:r>
              <w:rPr>
                <w:rFonts w:hint="eastAsia" w:ascii="宋体" w:hAnsi="宋体"/>
                <w:sz w:val="22"/>
                <w:szCs w:val="20"/>
              </w:rPr>
              <w:t>　</w:t>
            </w:r>
          </w:p>
        </w:tc>
      </w:tr>
      <w:tr>
        <w:tblPrEx>
          <w:tblCellMar>
            <w:top w:w="0" w:type="dxa"/>
            <w:left w:w="108" w:type="dxa"/>
            <w:bottom w:w="0" w:type="dxa"/>
            <w:right w:w="108" w:type="dxa"/>
          </w:tblCellMar>
        </w:tblPrEx>
        <w:trPr>
          <w:trHeight w:val="799"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2</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消火栓系统</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正常工作，发生故障24小时内解决</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故障每过24小时扣除1-5分</w:t>
            </w:r>
          </w:p>
        </w:tc>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sz w:val="22"/>
                <w:szCs w:val="20"/>
              </w:rPr>
            </w:pP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sz w:val="22"/>
                <w:szCs w:val="20"/>
              </w:rPr>
            </w:pPr>
            <w:r>
              <w:rPr>
                <w:rFonts w:hint="eastAsia" w:ascii="宋体" w:hAnsi="宋体"/>
                <w:sz w:val="22"/>
                <w:szCs w:val="20"/>
              </w:rPr>
              <w:t>　</w:t>
            </w:r>
          </w:p>
        </w:tc>
      </w:tr>
      <w:tr>
        <w:tblPrEx>
          <w:tblCellMar>
            <w:top w:w="0" w:type="dxa"/>
            <w:left w:w="108" w:type="dxa"/>
            <w:bottom w:w="0" w:type="dxa"/>
            <w:right w:w="108" w:type="dxa"/>
          </w:tblCellMar>
        </w:tblPrEx>
        <w:trPr>
          <w:trHeight w:val="799"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3</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自动喷淋系统</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正常工作，发生故障24小时内解决</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故障每过24小时扣除1-5分</w:t>
            </w:r>
          </w:p>
        </w:tc>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sz w:val="22"/>
                <w:szCs w:val="20"/>
              </w:rPr>
            </w:pP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sz w:val="22"/>
                <w:szCs w:val="20"/>
              </w:rPr>
            </w:pPr>
            <w:r>
              <w:rPr>
                <w:rFonts w:hint="eastAsia" w:ascii="宋体" w:hAnsi="宋体"/>
                <w:sz w:val="22"/>
                <w:szCs w:val="20"/>
              </w:rPr>
              <w:t>　</w:t>
            </w:r>
          </w:p>
        </w:tc>
      </w:tr>
      <w:tr>
        <w:tblPrEx>
          <w:tblCellMar>
            <w:top w:w="0" w:type="dxa"/>
            <w:left w:w="108" w:type="dxa"/>
            <w:bottom w:w="0" w:type="dxa"/>
            <w:right w:w="108" w:type="dxa"/>
          </w:tblCellMar>
        </w:tblPrEx>
        <w:trPr>
          <w:trHeight w:val="799"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4</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防火卷帘系统</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正常工作，发生故障24小时内解决</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故障每过24小时扣除1-5分</w:t>
            </w:r>
          </w:p>
        </w:tc>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sz w:val="22"/>
                <w:szCs w:val="20"/>
              </w:rPr>
            </w:pP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sz w:val="22"/>
                <w:szCs w:val="20"/>
              </w:rPr>
            </w:pPr>
            <w:r>
              <w:rPr>
                <w:rFonts w:hint="eastAsia" w:ascii="宋体" w:hAnsi="宋体"/>
                <w:sz w:val="22"/>
                <w:szCs w:val="20"/>
              </w:rPr>
              <w:t>　</w:t>
            </w:r>
          </w:p>
        </w:tc>
      </w:tr>
      <w:tr>
        <w:tblPrEx>
          <w:tblCellMar>
            <w:top w:w="0" w:type="dxa"/>
            <w:left w:w="108" w:type="dxa"/>
            <w:bottom w:w="0" w:type="dxa"/>
            <w:right w:w="108" w:type="dxa"/>
          </w:tblCellMar>
        </w:tblPrEx>
        <w:trPr>
          <w:trHeight w:val="799"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5</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其它消防设施设备</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正常工作，发生故障24小时内解决</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故障每过24小时扣除1-5分</w:t>
            </w:r>
          </w:p>
        </w:tc>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sz w:val="22"/>
                <w:szCs w:val="20"/>
              </w:rPr>
            </w:pP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sz w:val="22"/>
                <w:szCs w:val="20"/>
              </w:rPr>
            </w:pPr>
            <w:r>
              <w:rPr>
                <w:rFonts w:hint="eastAsia" w:ascii="宋体" w:hAnsi="宋体"/>
                <w:sz w:val="22"/>
                <w:szCs w:val="20"/>
              </w:rPr>
              <w:t>　</w:t>
            </w:r>
          </w:p>
        </w:tc>
      </w:tr>
      <w:tr>
        <w:tblPrEx>
          <w:tblCellMar>
            <w:top w:w="0" w:type="dxa"/>
            <w:left w:w="108" w:type="dxa"/>
            <w:bottom w:w="0" w:type="dxa"/>
            <w:right w:w="108" w:type="dxa"/>
          </w:tblCellMar>
        </w:tblPrEx>
        <w:trPr>
          <w:trHeight w:val="91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6</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甲方满意度</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接到甲方设备故障1小时到达现场，24小时内解决</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接到甲方设备故障1小时未到达现场，24小时内未解决扣1分</w:t>
            </w:r>
          </w:p>
        </w:tc>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sz w:val="22"/>
                <w:szCs w:val="20"/>
              </w:rPr>
            </w:pPr>
            <w:r>
              <w:rPr>
                <w:rFonts w:hint="eastAsia" w:ascii="宋体" w:hAnsi="宋体"/>
                <w:sz w:val="22"/>
                <w:szCs w:val="20"/>
              </w:rPr>
              <w:t>　</w:t>
            </w:r>
          </w:p>
        </w:tc>
      </w:tr>
      <w:tr>
        <w:tblPrEx>
          <w:tblCellMar>
            <w:top w:w="0" w:type="dxa"/>
            <w:left w:w="108" w:type="dxa"/>
            <w:bottom w:w="0" w:type="dxa"/>
            <w:right w:w="108" w:type="dxa"/>
          </w:tblCellMar>
        </w:tblPrEx>
        <w:trPr>
          <w:trHeight w:val="103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7</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驻校人员出勤、行为规范、工作态度</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正常出勤、穿戴整洁，佩戴工作证、积极工作</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除法定节假日和每周正常轮休外、未佩戴工牌或未穿工衣</w:t>
            </w:r>
          </w:p>
        </w:tc>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sz w:val="22"/>
                <w:szCs w:val="20"/>
              </w:rPr>
            </w:pP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sz w:val="22"/>
                <w:szCs w:val="20"/>
              </w:rPr>
            </w:pPr>
            <w:r>
              <w:rPr>
                <w:rFonts w:hint="eastAsia" w:ascii="宋体" w:hAnsi="宋体"/>
                <w:sz w:val="22"/>
                <w:szCs w:val="20"/>
              </w:rPr>
              <w:t>　</w:t>
            </w:r>
          </w:p>
        </w:tc>
      </w:tr>
      <w:tr>
        <w:tblPrEx>
          <w:tblCellMar>
            <w:top w:w="0" w:type="dxa"/>
            <w:left w:w="108" w:type="dxa"/>
            <w:bottom w:w="0" w:type="dxa"/>
            <w:right w:w="108" w:type="dxa"/>
          </w:tblCellMar>
        </w:tblPrEx>
        <w:trPr>
          <w:trHeight w:val="345" w:hRule="atLeast"/>
        </w:trPr>
        <w:tc>
          <w:tcPr>
            <w:tcW w:w="0" w:type="auto"/>
            <w:gridSpan w:val="5"/>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合计得分</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0"/>
              </w:rPr>
            </w:pPr>
            <w:r>
              <w:rPr>
                <w:rFonts w:hint="eastAsia" w:ascii="宋体" w:hAnsi="宋体"/>
                <w:sz w:val="22"/>
                <w:szCs w:val="20"/>
              </w:rPr>
              <w:t>100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sz w:val="22"/>
                <w:szCs w:val="20"/>
              </w:rPr>
            </w:pPr>
            <w:r>
              <w:rPr>
                <w:rFonts w:hint="eastAsia" w:ascii="宋体" w:hAnsi="宋体"/>
                <w:sz w:val="22"/>
                <w:szCs w:val="20"/>
              </w:rPr>
              <w:t>　</w:t>
            </w:r>
          </w:p>
        </w:tc>
      </w:tr>
      <w:tr>
        <w:tblPrEx>
          <w:tblCellMar>
            <w:top w:w="0" w:type="dxa"/>
            <w:left w:w="108" w:type="dxa"/>
            <w:bottom w:w="0" w:type="dxa"/>
            <w:right w:w="108" w:type="dxa"/>
          </w:tblCellMar>
        </w:tblPrEx>
        <w:trPr>
          <w:trHeight w:val="960" w:hRule="atLeast"/>
        </w:trPr>
        <w:tc>
          <w:tcPr>
            <w:tcW w:w="0" w:type="auto"/>
            <w:gridSpan w:val="7"/>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left"/>
              <w:rPr>
                <w:rFonts w:hint="eastAsia" w:ascii="宋体" w:hAnsi="宋体"/>
                <w:sz w:val="22"/>
                <w:szCs w:val="20"/>
              </w:rPr>
            </w:pPr>
            <w:r>
              <w:rPr>
                <w:rFonts w:hint="eastAsia" w:ascii="宋体" w:hAnsi="宋体"/>
                <w:sz w:val="22"/>
                <w:szCs w:val="20"/>
              </w:rPr>
              <w:t>扣分说明：以上注明24小时内解决的问题，超过时间将重复扣分，直至解决故障，比如应24小时内解决的问题，超24小时扣相应分，超48小时再扣相应分。</w:t>
            </w:r>
          </w:p>
        </w:tc>
      </w:tr>
      <w:tr>
        <w:tblPrEx>
          <w:tblCellMar>
            <w:top w:w="0" w:type="dxa"/>
            <w:left w:w="108" w:type="dxa"/>
            <w:bottom w:w="0" w:type="dxa"/>
            <w:right w:w="108" w:type="dxa"/>
          </w:tblCellMar>
        </w:tblPrEx>
        <w:trPr>
          <w:trHeight w:val="1125" w:hRule="atLeast"/>
        </w:trPr>
        <w:tc>
          <w:tcPr>
            <w:tcW w:w="0" w:type="auto"/>
            <w:gridSpan w:val="7"/>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left"/>
              <w:rPr>
                <w:rFonts w:hint="eastAsia" w:ascii="宋体" w:hAnsi="宋体"/>
                <w:sz w:val="22"/>
                <w:szCs w:val="20"/>
              </w:rPr>
            </w:pPr>
            <w:r>
              <w:rPr>
                <w:rFonts w:hint="eastAsia" w:ascii="宋体" w:hAnsi="宋体"/>
                <w:sz w:val="22"/>
                <w:szCs w:val="20"/>
              </w:rPr>
              <w:t>付款说明：每季度总分100分，维护保养占80分，甲方满意度占10分，驻校人员出勤、行为规范、工作态度占10分。付款比例为得分比例（例如，第一个维护保养季度扣分20分，得80分，则支付费用为当季度应付费用的80%）</w:t>
            </w:r>
          </w:p>
        </w:tc>
      </w:tr>
    </w:tbl>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spacing w:line="360" w:lineRule="auto"/>
        <w:rPr>
          <w:rFonts w:hint="eastAsia" w:ascii="黑体" w:hAnsi="黑体" w:eastAsia="黑体" w:cs="Tahoma"/>
          <w:sz w:val="32"/>
          <w:szCs w:val="32"/>
          <w:lang w:val="en-US" w:eastAsia="zh-CN"/>
        </w:rPr>
      </w:pPr>
    </w:p>
    <w:p>
      <w:pPr>
        <w:spacing w:line="360" w:lineRule="auto"/>
        <w:rPr>
          <w:rFonts w:hint="eastAsia" w:ascii="黑体" w:hAnsi="黑体" w:eastAsia="黑体" w:cs="Tahoma"/>
          <w:sz w:val="32"/>
          <w:szCs w:val="32"/>
          <w:lang w:val="en-US" w:eastAsia="zh-CN"/>
        </w:rPr>
      </w:pPr>
      <w:r>
        <w:rPr>
          <w:rFonts w:hint="eastAsia" w:ascii="黑体" w:hAnsi="黑体" w:eastAsia="黑体" w:cs="Tahoma"/>
          <w:sz w:val="32"/>
          <w:szCs w:val="32"/>
          <w:lang w:val="en-US" w:eastAsia="zh-CN"/>
        </w:rPr>
        <w:t>附件三：报价单样式</w:t>
      </w: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7"/>
        <w:gridCol w:w="1983"/>
        <w:gridCol w:w="1091"/>
        <w:gridCol w:w="1124"/>
        <w:gridCol w:w="1092"/>
        <w:gridCol w:w="1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服务名称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4"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w:t>
            </w:r>
          </w:p>
        </w:tc>
        <w:tc>
          <w:tcPr>
            <w:tcW w:w="72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火灾自动报警系统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火灾自动报警系统共19个回路，含火灾自动报警主机、探测器、模块、线路、报警按钮等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点位</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4305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w:t>
            </w:r>
          </w:p>
        </w:tc>
        <w:tc>
          <w:tcPr>
            <w:tcW w:w="72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消防水泵（含管道、阀门等）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室内消火栓（含管道、阀门等）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2040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室外消火栓（含管道、阀门等）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47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w:t>
            </w:r>
          </w:p>
        </w:tc>
        <w:tc>
          <w:tcPr>
            <w:tcW w:w="72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自动喷淋系统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自动喷淋系统（含消防水箱、喷淋头、管道、阀门等）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四</w:t>
            </w:r>
          </w:p>
        </w:tc>
        <w:tc>
          <w:tcPr>
            <w:tcW w:w="72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防火卷帘门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防火卷帘门（含卷帘电机、卷帘门等）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w:t>
            </w:r>
          </w:p>
        </w:tc>
        <w:tc>
          <w:tcPr>
            <w:tcW w:w="72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其他消防设施设备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防排烟设备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个</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49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安全出口、应急灯</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4080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合计</w:t>
            </w:r>
          </w:p>
        </w:tc>
        <w:tc>
          <w:tcPr>
            <w:tcW w:w="3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tabs>
          <w:tab w:val="center" w:pos="180"/>
        </w:tabs>
        <w:spacing w:line="360" w:lineRule="auto"/>
        <w:rPr>
          <w:rFonts w:hint="eastAsia" w:ascii="Tahoma" w:hAnsi="Tahoma" w:cs="Tahom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Arial" w:hAnsi="Arial" w:cs="Arial"/>
      </w:rPr>
    </w:pPr>
    <w:r>
      <w:rPr>
        <w:rFonts w:hint="eastAsia" w:ascii="Arial" w:cs="Arial"/>
        <w:szCs w:val="21"/>
      </w:rPr>
      <w:t>第</w:t>
    </w:r>
    <w:r>
      <w:rPr>
        <w:rFonts w:ascii="Arial" w:hAnsi="Arial" w:cs="Arial"/>
        <w:szCs w:val="21"/>
      </w:rPr>
      <w:t xml:space="preserve"> </w:t>
    </w:r>
    <w:r>
      <w:rPr>
        <w:rFonts w:ascii="Arial" w:hAnsi="Arial" w:cs="Arial"/>
        <w:szCs w:val="21"/>
      </w:rPr>
      <w:fldChar w:fldCharType="begin"/>
    </w:r>
    <w:r>
      <w:rPr>
        <w:rFonts w:ascii="Arial" w:hAnsi="Arial" w:cs="Arial"/>
        <w:szCs w:val="21"/>
      </w:rPr>
      <w:instrText xml:space="preserve"> PAGE </w:instrText>
    </w:r>
    <w:r>
      <w:rPr>
        <w:rFonts w:ascii="Arial" w:hAnsi="Arial" w:cs="Arial"/>
        <w:szCs w:val="21"/>
      </w:rPr>
      <w:fldChar w:fldCharType="separate"/>
    </w:r>
    <w:r>
      <w:rPr>
        <w:rFonts w:ascii="Arial" w:hAnsi="Arial" w:cs="Arial"/>
        <w:szCs w:val="21"/>
      </w:rPr>
      <w:t>2</w:t>
    </w:r>
    <w:r>
      <w:rPr>
        <w:rFonts w:ascii="Arial" w:hAnsi="Arial" w:cs="Arial"/>
        <w:szCs w:val="21"/>
      </w:rPr>
      <w:fldChar w:fldCharType="end"/>
    </w:r>
    <w:r>
      <w:rPr>
        <w:rFonts w:ascii="Arial" w:hAnsi="Arial" w:cs="Arial"/>
        <w:szCs w:val="21"/>
      </w:rPr>
      <w:t xml:space="preserve"> </w:t>
    </w:r>
    <w:r>
      <w:rPr>
        <w:rFonts w:hint="eastAsia" w:ascii="Arial" w:cs="Arial"/>
        <w:szCs w:val="21"/>
      </w:rPr>
      <w:t>页</w:t>
    </w:r>
    <w:r>
      <w:rPr>
        <w:rFonts w:ascii="Arial" w:hAnsi="Arial" w:cs="Arial"/>
        <w:szCs w:val="21"/>
      </w:rPr>
      <w:t xml:space="preserve"> </w:t>
    </w:r>
    <w:r>
      <w:rPr>
        <w:rFonts w:hint="eastAsia" w:ascii="Arial" w:cs="Arial"/>
        <w:szCs w:val="21"/>
      </w:rPr>
      <w:t>共</w:t>
    </w:r>
    <w:r>
      <w:rPr>
        <w:rFonts w:ascii="Arial" w:hAnsi="Arial" w:cs="Arial"/>
        <w:szCs w:val="21"/>
      </w:rPr>
      <w:t xml:space="preserve"> </w:t>
    </w:r>
    <w:r>
      <w:rPr>
        <w:rFonts w:ascii="Arial" w:hAnsi="Arial" w:cs="Arial"/>
        <w:szCs w:val="21"/>
      </w:rPr>
      <w:fldChar w:fldCharType="begin"/>
    </w:r>
    <w:r>
      <w:rPr>
        <w:rFonts w:ascii="Arial" w:hAnsi="Arial" w:cs="Arial"/>
        <w:szCs w:val="21"/>
      </w:rPr>
      <w:instrText xml:space="preserve"> NUMPAGES </w:instrText>
    </w:r>
    <w:r>
      <w:rPr>
        <w:rFonts w:ascii="Arial" w:hAnsi="Arial" w:cs="Arial"/>
        <w:szCs w:val="21"/>
      </w:rPr>
      <w:fldChar w:fldCharType="separate"/>
    </w:r>
    <w:r>
      <w:rPr>
        <w:rFonts w:ascii="Arial" w:hAnsi="Arial" w:cs="Arial"/>
        <w:szCs w:val="21"/>
      </w:rPr>
      <w:t>14</w:t>
    </w:r>
    <w:r>
      <w:rPr>
        <w:rFonts w:ascii="Arial" w:hAnsi="Arial" w:cs="Arial"/>
        <w:szCs w:val="21"/>
      </w:rPr>
      <w:fldChar w:fldCharType="end"/>
    </w:r>
    <w:r>
      <w:rPr>
        <w:rFonts w:ascii="Arial" w:hAnsi="Arial" w:cs="Arial"/>
        <w:szCs w:val="21"/>
      </w:rPr>
      <w:t xml:space="preserve"> </w:t>
    </w:r>
    <w:r>
      <w:rPr>
        <w:rFonts w:hint="eastAsia" w:ascii="Arial" w:cs="Arial"/>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18</w: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rFonts w:ascii="微软雅黑" w:hAnsi="微软雅黑" w:eastAsia="微软雅黑"/>
        <w:sz w:val="16"/>
      </w:rPr>
    </w:pPr>
    <w:r>
      <w:rPr>
        <w:sz w:val="10"/>
      </w:rPr>
      <w:t xml:space="preserve">                          </w:t>
    </w:r>
    <w:r>
      <w:rPr>
        <w:sz w:val="10"/>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E5CE8"/>
    <w:multiLevelType w:val="multilevel"/>
    <w:tmpl w:val="018E5CE8"/>
    <w:lvl w:ilvl="0" w:tentative="0">
      <w:start w:val="1"/>
      <w:numFmt w:val="decimal"/>
      <w:lvlText w:val="%1."/>
      <w:lvlJc w:val="left"/>
      <w:pPr>
        <w:tabs>
          <w:tab w:val="left" w:pos="540"/>
        </w:tabs>
        <w:ind w:left="540" w:hanging="360"/>
      </w:pPr>
      <w:rPr>
        <w:rFonts w:hint="default" w:cs="Times New Roman"/>
        <w:b w:val="0"/>
      </w:rPr>
    </w:lvl>
    <w:lvl w:ilvl="1" w:tentative="0">
      <w:start w:val="1"/>
      <w:numFmt w:val="lowerLetter"/>
      <w:lvlText w:val="%2)"/>
      <w:lvlJc w:val="left"/>
      <w:pPr>
        <w:tabs>
          <w:tab w:val="left" w:pos="1020"/>
        </w:tabs>
        <w:ind w:left="1020" w:hanging="420"/>
      </w:pPr>
      <w:rPr>
        <w:rFonts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abstractNum w:abstractNumId="1">
    <w:nsid w:val="0BF1401A"/>
    <w:multiLevelType w:val="multilevel"/>
    <w:tmpl w:val="0BF1401A"/>
    <w:lvl w:ilvl="0" w:tentative="0">
      <w:start w:val="6"/>
      <w:numFmt w:val="chineseCountingThousand"/>
      <w:lvlText w:val="%1、"/>
      <w:lvlJc w:val="left"/>
      <w:pPr>
        <w:ind w:left="360" w:hanging="360"/>
      </w:pPr>
      <w:rPr>
        <w:rFonts w:hint="eastAsia" w:cs="Times New Roman"/>
        <w:b/>
        <w:sz w:val="28"/>
        <w:szCs w:val="28"/>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2">
    <w:nsid w:val="10AC3834"/>
    <w:multiLevelType w:val="multilevel"/>
    <w:tmpl w:val="10AC3834"/>
    <w:lvl w:ilvl="0" w:tentative="0">
      <w:start w:val="1"/>
      <w:numFmt w:val="decimal"/>
      <w:lvlText w:val="%1."/>
      <w:lvlJc w:val="left"/>
      <w:pPr>
        <w:tabs>
          <w:tab w:val="left" w:pos="1140"/>
        </w:tabs>
        <w:ind w:left="1140" w:hanging="420"/>
      </w:pPr>
      <w:rPr>
        <w:rFonts w:hint="eastAsia"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3">
    <w:nsid w:val="12CA7108"/>
    <w:multiLevelType w:val="multilevel"/>
    <w:tmpl w:val="12CA7108"/>
    <w:lvl w:ilvl="0" w:tentative="0">
      <w:start w:val="1"/>
      <w:numFmt w:val="chineseCountingThousand"/>
      <w:lvlText w:val="(%1)"/>
      <w:lvlJc w:val="left"/>
      <w:pPr>
        <w:tabs>
          <w:tab w:val="left" w:pos="780"/>
        </w:tabs>
        <w:ind w:left="780" w:hanging="420"/>
      </w:pPr>
      <w:rPr>
        <w:rFonts w:hint="eastAsia" w:cs="Times New Roman"/>
      </w:rPr>
    </w:lvl>
    <w:lvl w:ilvl="1" w:tentative="0">
      <w:start w:val="1"/>
      <w:numFmt w:val="decimal"/>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4">
    <w:nsid w:val="1F640885"/>
    <w:multiLevelType w:val="multilevel"/>
    <w:tmpl w:val="1F640885"/>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BF17672"/>
    <w:multiLevelType w:val="multilevel"/>
    <w:tmpl w:val="2BF17672"/>
    <w:lvl w:ilvl="0" w:tentative="0">
      <w:start w:val="1"/>
      <w:numFmt w:val="decimal"/>
      <w:lvlText w:val="%1."/>
      <w:lvlJc w:val="left"/>
      <w:pPr>
        <w:tabs>
          <w:tab w:val="left" w:pos="360"/>
        </w:tabs>
        <w:ind w:left="360" w:hanging="360"/>
      </w:pPr>
      <w:rPr>
        <w:rFonts w:hint="default" w:cs="Times New Roman"/>
        <w:b w:val="0"/>
      </w:rPr>
    </w:lvl>
    <w:lvl w:ilvl="1" w:tentative="0">
      <w:start w:val="1"/>
      <w:numFmt w:val="lowerLetter"/>
      <w:lvlText w:val="%2)"/>
      <w:lvlJc w:val="left"/>
      <w:pPr>
        <w:tabs>
          <w:tab w:val="left" w:pos="660"/>
        </w:tabs>
        <w:ind w:left="660" w:hanging="420"/>
      </w:pPr>
      <w:rPr>
        <w:rFonts w:cs="Times New Roman"/>
      </w:rPr>
    </w:lvl>
    <w:lvl w:ilvl="2" w:tentative="0">
      <w:start w:val="1"/>
      <w:numFmt w:val="lowerRoman"/>
      <w:lvlText w:val="%3."/>
      <w:lvlJc w:val="right"/>
      <w:pPr>
        <w:tabs>
          <w:tab w:val="left" w:pos="1080"/>
        </w:tabs>
        <w:ind w:left="1080" w:hanging="420"/>
      </w:pPr>
      <w:rPr>
        <w:rFonts w:cs="Times New Roman"/>
      </w:rPr>
    </w:lvl>
    <w:lvl w:ilvl="3" w:tentative="0">
      <w:start w:val="1"/>
      <w:numFmt w:val="decimal"/>
      <w:lvlText w:val="%4."/>
      <w:lvlJc w:val="left"/>
      <w:pPr>
        <w:tabs>
          <w:tab w:val="left" w:pos="1500"/>
        </w:tabs>
        <w:ind w:left="1500" w:hanging="420"/>
      </w:pPr>
      <w:rPr>
        <w:rFonts w:cs="Times New Roman"/>
      </w:rPr>
    </w:lvl>
    <w:lvl w:ilvl="4" w:tentative="0">
      <w:start w:val="1"/>
      <w:numFmt w:val="lowerLetter"/>
      <w:lvlText w:val="%5)"/>
      <w:lvlJc w:val="left"/>
      <w:pPr>
        <w:tabs>
          <w:tab w:val="left" w:pos="1920"/>
        </w:tabs>
        <w:ind w:left="1920" w:hanging="420"/>
      </w:pPr>
      <w:rPr>
        <w:rFonts w:cs="Times New Roman"/>
      </w:rPr>
    </w:lvl>
    <w:lvl w:ilvl="5" w:tentative="0">
      <w:start w:val="1"/>
      <w:numFmt w:val="lowerRoman"/>
      <w:lvlText w:val="%6."/>
      <w:lvlJc w:val="right"/>
      <w:pPr>
        <w:tabs>
          <w:tab w:val="left" w:pos="2340"/>
        </w:tabs>
        <w:ind w:left="2340" w:hanging="420"/>
      </w:pPr>
      <w:rPr>
        <w:rFonts w:cs="Times New Roman"/>
      </w:rPr>
    </w:lvl>
    <w:lvl w:ilvl="6" w:tentative="0">
      <w:start w:val="1"/>
      <w:numFmt w:val="decimal"/>
      <w:lvlText w:val="%7."/>
      <w:lvlJc w:val="left"/>
      <w:pPr>
        <w:tabs>
          <w:tab w:val="left" w:pos="2760"/>
        </w:tabs>
        <w:ind w:left="2760" w:hanging="420"/>
      </w:pPr>
      <w:rPr>
        <w:rFonts w:cs="Times New Roman"/>
      </w:rPr>
    </w:lvl>
    <w:lvl w:ilvl="7" w:tentative="0">
      <w:start w:val="1"/>
      <w:numFmt w:val="lowerLetter"/>
      <w:lvlText w:val="%8)"/>
      <w:lvlJc w:val="left"/>
      <w:pPr>
        <w:tabs>
          <w:tab w:val="left" w:pos="3180"/>
        </w:tabs>
        <w:ind w:left="3180" w:hanging="420"/>
      </w:pPr>
      <w:rPr>
        <w:rFonts w:cs="Times New Roman"/>
      </w:rPr>
    </w:lvl>
    <w:lvl w:ilvl="8" w:tentative="0">
      <w:start w:val="1"/>
      <w:numFmt w:val="lowerRoman"/>
      <w:lvlText w:val="%9."/>
      <w:lvlJc w:val="right"/>
      <w:pPr>
        <w:tabs>
          <w:tab w:val="left" w:pos="3600"/>
        </w:tabs>
        <w:ind w:left="3600" w:hanging="420"/>
      </w:pPr>
      <w:rPr>
        <w:rFonts w:cs="Times New Roman"/>
      </w:rPr>
    </w:lvl>
  </w:abstractNum>
  <w:abstractNum w:abstractNumId="6">
    <w:nsid w:val="347C3FE5"/>
    <w:multiLevelType w:val="multilevel"/>
    <w:tmpl w:val="347C3FE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45D2565D"/>
    <w:multiLevelType w:val="multilevel"/>
    <w:tmpl w:val="45D2565D"/>
    <w:lvl w:ilvl="0" w:tentative="0">
      <w:start w:val="1"/>
      <w:numFmt w:val="decimal"/>
      <w:lvlText w:val="%1."/>
      <w:lvlJc w:val="left"/>
      <w:pPr>
        <w:ind w:left="1200" w:hanging="360"/>
      </w:pPr>
      <w:rPr>
        <w:rFonts w:hint="eastAsia" w:cs="Times New Roman"/>
      </w:rPr>
    </w:lvl>
    <w:lvl w:ilvl="1" w:tentative="0">
      <w:start w:val="1"/>
      <w:numFmt w:val="lowerLetter"/>
      <w:lvlText w:val="%2."/>
      <w:lvlJc w:val="left"/>
      <w:pPr>
        <w:ind w:left="1920" w:hanging="360"/>
      </w:pPr>
      <w:rPr>
        <w:rFonts w:cs="Times New Roman"/>
      </w:rPr>
    </w:lvl>
    <w:lvl w:ilvl="2" w:tentative="0">
      <w:start w:val="1"/>
      <w:numFmt w:val="lowerRoman"/>
      <w:lvlText w:val="%3."/>
      <w:lvlJc w:val="right"/>
      <w:pPr>
        <w:ind w:left="2640" w:hanging="180"/>
      </w:pPr>
      <w:rPr>
        <w:rFonts w:cs="Times New Roman"/>
      </w:rPr>
    </w:lvl>
    <w:lvl w:ilvl="3" w:tentative="0">
      <w:start w:val="1"/>
      <w:numFmt w:val="decimal"/>
      <w:lvlText w:val="%4."/>
      <w:lvlJc w:val="left"/>
      <w:pPr>
        <w:ind w:left="3360" w:hanging="360"/>
      </w:pPr>
      <w:rPr>
        <w:rFonts w:cs="Times New Roman"/>
      </w:rPr>
    </w:lvl>
    <w:lvl w:ilvl="4" w:tentative="0">
      <w:start w:val="1"/>
      <w:numFmt w:val="lowerLetter"/>
      <w:lvlText w:val="%5."/>
      <w:lvlJc w:val="left"/>
      <w:pPr>
        <w:ind w:left="4080" w:hanging="360"/>
      </w:pPr>
      <w:rPr>
        <w:rFonts w:cs="Times New Roman"/>
      </w:rPr>
    </w:lvl>
    <w:lvl w:ilvl="5" w:tentative="0">
      <w:start w:val="1"/>
      <w:numFmt w:val="lowerRoman"/>
      <w:lvlText w:val="%6."/>
      <w:lvlJc w:val="right"/>
      <w:pPr>
        <w:ind w:left="4800" w:hanging="180"/>
      </w:pPr>
      <w:rPr>
        <w:rFonts w:cs="Times New Roman"/>
      </w:rPr>
    </w:lvl>
    <w:lvl w:ilvl="6" w:tentative="0">
      <w:start w:val="1"/>
      <w:numFmt w:val="decimal"/>
      <w:lvlText w:val="%7."/>
      <w:lvlJc w:val="left"/>
      <w:pPr>
        <w:ind w:left="5520" w:hanging="360"/>
      </w:pPr>
      <w:rPr>
        <w:rFonts w:cs="Times New Roman"/>
      </w:rPr>
    </w:lvl>
    <w:lvl w:ilvl="7" w:tentative="0">
      <w:start w:val="1"/>
      <w:numFmt w:val="lowerLetter"/>
      <w:lvlText w:val="%8."/>
      <w:lvlJc w:val="left"/>
      <w:pPr>
        <w:ind w:left="6240" w:hanging="360"/>
      </w:pPr>
      <w:rPr>
        <w:rFonts w:cs="Times New Roman"/>
      </w:rPr>
    </w:lvl>
    <w:lvl w:ilvl="8" w:tentative="0">
      <w:start w:val="1"/>
      <w:numFmt w:val="lowerRoman"/>
      <w:lvlText w:val="%9."/>
      <w:lvlJc w:val="right"/>
      <w:pPr>
        <w:ind w:left="6960" w:hanging="180"/>
      </w:pPr>
      <w:rPr>
        <w:rFonts w:cs="Times New Roman"/>
      </w:rPr>
    </w:lvl>
  </w:abstractNum>
  <w:abstractNum w:abstractNumId="8">
    <w:nsid w:val="56EB4495"/>
    <w:multiLevelType w:val="multilevel"/>
    <w:tmpl w:val="56EB4495"/>
    <w:lvl w:ilvl="0" w:tentative="0">
      <w:start w:val="1"/>
      <w:numFmt w:val="chineseCountingThousand"/>
      <w:lvlText w:val="(%1)"/>
      <w:lvlJc w:val="left"/>
      <w:pPr>
        <w:ind w:left="720" w:hanging="360"/>
      </w:pPr>
      <w:rPr>
        <w:rFonts w:cs="Times New Roman"/>
        <w:b/>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5B8547B4"/>
    <w:multiLevelType w:val="multilevel"/>
    <w:tmpl w:val="5B8547B4"/>
    <w:lvl w:ilvl="0" w:tentative="0">
      <w:start w:val="1"/>
      <w:numFmt w:val="decimal"/>
      <w:lvlText w:val="%1."/>
      <w:lvlJc w:val="left"/>
      <w:pPr>
        <w:ind w:left="720" w:hanging="360"/>
      </w:pPr>
      <w:rPr>
        <w:rFonts w:hint="eastAsia"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
    <w:nsid w:val="64111E79"/>
    <w:multiLevelType w:val="multilevel"/>
    <w:tmpl w:val="64111E79"/>
    <w:lvl w:ilvl="0" w:tentative="0">
      <w:start w:val="1"/>
      <w:numFmt w:val="decimal"/>
      <w:lvlText w:val="%1."/>
      <w:lvlJc w:val="left"/>
      <w:pPr>
        <w:ind w:left="1200" w:hanging="360"/>
      </w:pPr>
      <w:rPr>
        <w:rFonts w:hint="eastAsia" w:cs="Times New Roman"/>
      </w:rPr>
    </w:lvl>
    <w:lvl w:ilvl="1" w:tentative="0">
      <w:start w:val="1"/>
      <w:numFmt w:val="lowerLetter"/>
      <w:lvlText w:val="%2."/>
      <w:lvlJc w:val="left"/>
      <w:pPr>
        <w:ind w:left="1920" w:hanging="360"/>
      </w:pPr>
      <w:rPr>
        <w:rFonts w:cs="Times New Roman"/>
      </w:rPr>
    </w:lvl>
    <w:lvl w:ilvl="2" w:tentative="0">
      <w:start w:val="1"/>
      <w:numFmt w:val="lowerRoman"/>
      <w:lvlText w:val="%3."/>
      <w:lvlJc w:val="right"/>
      <w:pPr>
        <w:ind w:left="2640" w:hanging="180"/>
      </w:pPr>
      <w:rPr>
        <w:rFonts w:cs="Times New Roman"/>
      </w:rPr>
    </w:lvl>
    <w:lvl w:ilvl="3" w:tentative="0">
      <w:start w:val="1"/>
      <w:numFmt w:val="decimal"/>
      <w:lvlText w:val="%4."/>
      <w:lvlJc w:val="left"/>
      <w:pPr>
        <w:ind w:left="3360" w:hanging="360"/>
      </w:pPr>
      <w:rPr>
        <w:rFonts w:cs="Times New Roman"/>
      </w:rPr>
    </w:lvl>
    <w:lvl w:ilvl="4" w:tentative="0">
      <w:start w:val="1"/>
      <w:numFmt w:val="lowerLetter"/>
      <w:lvlText w:val="%5."/>
      <w:lvlJc w:val="left"/>
      <w:pPr>
        <w:ind w:left="4080" w:hanging="360"/>
      </w:pPr>
      <w:rPr>
        <w:rFonts w:cs="Times New Roman"/>
      </w:rPr>
    </w:lvl>
    <w:lvl w:ilvl="5" w:tentative="0">
      <w:start w:val="1"/>
      <w:numFmt w:val="lowerRoman"/>
      <w:lvlText w:val="%6."/>
      <w:lvlJc w:val="right"/>
      <w:pPr>
        <w:ind w:left="4800" w:hanging="180"/>
      </w:pPr>
      <w:rPr>
        <w:rFonts w:cs="Times New Roman"/>
      </w:rPr>
    </w:lvl>
    <w:lvl w:ilvl="6" w:tentative="0">
      <w:start w:val="1"/>
      <w:numFmt w:val="decimal"/>
      <w:lvlText w:val="%7."/>
      <w:lvlJc w:val="left"/>
      <w:pPr>
        <w:ind w:left="5520" w:hanging="360"/>
      </w:pPr>
      <w:rPr>
        <w:rFonts w:cs="Times New Roman"/>
      </w:rPr>
    </w:lvl>
    <w:lvl w:ilvl="7" w:tentative="0">
      <w:start w:val="1"/>
      <w:numFmt w:val="lowerLetter"/>
      <w:lvlText w:val="%8."/>
      <w:lvlJc w:val="left"/>
      <w:pPr>
        <w:ind w:left="6240" w:hanging="360"/>
      </w:pPr>
      <w:rPr>
        <w:rFonts w:cs="Times New Roman"/>
      </w:rPr>
    </w:lvl>
    <w:lvl w:ilvl="8" w:tentative="0">
      <w:start w:val="1"/>
      <w:numFmt w:val="lowerRoman"/>
      <w:lvlText w:val="%9."/>
      <w:lvlJc w:val="right"/>
      <w:pPr>
        <w:ind w:left="6960" w:hanging="180"/>
      </w:pPr>
      <w:rPr>
        <w:rFonts w:cs="Times New Roman"/>
      </w:rPr>
    </w:lvl>
  </w:abstractNum>
  <w:abstractNum w:abstractNumId="11">
    <w:nsid w:val="6FC10D5C"/>
    <w:multiLevelType w:val="multilevel"/>
    <w:tmpl w:val="6FC10D5C"/>
    <w:lvl w:ilvl="0" w:tentative="0">
      <w:start w:val="3"/>
      <w:numFmt w:val="japaneseCounting"/>
      <w:lvlText w:val="%1、"/>
      <w:lvlJc w:val="left"/>
      <w:pPr>
        <w:ind w:left="720" w:hanging="720"/>
      </w:pPr>
      <w:rPr>
        <w:rFonts w:hint="default" w:hAnsi="Arial"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73CC3908"/>
    <w:multiLevelType w:val="multilevel"/>
    <w:tmpl w:val="73CC3908"/>
    <w:lvl w:ilvl="0" w:tentative="0">
      <w:start w:val="1"/>
      <w:numFmt w:val="chineseCountingThousand"/>
      <w:lvlText w:val="(%1)"/>
      <w:lvlJc w:val="left"/>
      <w:pPr>
        <w:tabs>
          <w:tab w:val="left" w:pos="780"/>
        </w:tabs>
        <w:ind w:left="780" w:hanging="420"/>
      </w:pPr>
      <w:rPr>
        <w:rFonts w:hint="eastAsia" w:cs="Times New Roman"/>
      </w:rPr>
    </w:lvl>
    <w:lvl w:ilvl="1" w:tentative="0">
      <w:start w:val="1"/>
      <w:numFmt w:val="decimal"/>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13">
    <w:nsid w:val="75D12419"/>
    <w:multiLevelType w:val="multilevel"/>
    <w:tmpl w:val="75D12419"/>
    <w:lvl w:ilvl="0" w:tentative="0">
      <w:start w:val="1"/>
      <w:numFmt w:val="chineseCountingThousand"/>
      <w:lvlText w:val="(%1)"/>
      <w:lvlJc w:val="left"/>
      <w:pPr>
        <w:tabs>
          <w:tab w:val="left" w:pos="420"/>
        </w:tabs>
        <w:ind w:left="420" w:hanging="420"/>
      </w:pPr>
      <w:rPr>
        <w:rFonts w:hint="eastAsia" w:cs="Times New Roman"/>
      </w:rPr>
    </w:lvl>
    <w:lvl w:ilvl="1" w:tentative="0">
      <w:start w:val="1"/>
      <w:numFmt w:val="lowerLetter"/>
      <w:lvlText w:val="%2."/>
      <w:lvlJc w:val="left"/>
      <w:pPr>
        <w:ind w:left="780" w:hanging="36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7E6F333D"/>
    <w:multiLevelType w:val="multilevel"/>
    <w:tmpl w:val="7E6F333D"/>
    <w:lvl w:ilvl="0" w:tentative="0">
      <w:start w:val="1"/>
      <w:numFmt w:val="chineseCountingThousand"/>
      <w:lvlText w:val="(%1)"/>
      <w:lvlJc w:val="left"/>
      <w:pPr>
        <w:tabs>
          <w:tab w:val="left" w:pos="420"/>
        </w:tabs>
        <w:ind w:left="420" w:hanging="420"/>
      </w:pPr>
      <w:rPr>
        <w:rFonts w:cs="Times New Roman"/>
      </w:rPr>
    </w:lvl>
    <w:lvl w:ilvl="1" w:tentative="0">
      <w:start w:val="1"/>
      <w:numFmt w:val="decimal"/>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8"/>
  </w:num>
  <w:num w:numId="2">
    <w:abstractNumId w:val="7"/>
  </w:num>
  <w:num w:numId="3">
    <w:abstractNumId w:val="10"/>
  </w:num>
  <w:num w:numId="4">
    <w:abstractNumId w:val="4"/>
  </w:num>
  <w:num w:numId="5">
    <w:abstractNumId w:val="11"/>
  </w:num>
  <w:num w:numId="6">
    <w:abstractNumId w:val="13"/>
  </w:num>
  <w:num w:numId="7">
    <w:abstractNumId w:val="6"/>
  </w:num>
  <w:num w:numId="8">
    <w:abstractNumId w:val="2"/>
  </w:num>
  <w:num w:numId="9">
    <w:abstractNumId w:val="9"/>
  </w:num>
  <w:num w:numId="10">
    <w:abstractNumId w:val="1"/>
  </w:num>
  <w:num w:numId="11">
    <w:abstractNumId w:val="14"/>
  </w:num>
  <w:num w:numId="12">
    <w:abstractNumId w:val="0"/>
  </w:num>
  <w:num w:numId="13">
    <w:abstractNumId w:val="5"/>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WQ1OWE5OThlNTc3ZjM2OTQxYzUwZTNiMGQ4ZDMifQ=="/>
  </w:docVars>
  <w:rsids>
    <w:rsidRoot w:val="00B72580"/>
    <w:rsid w:val="00002763"/>
    <w:rsid w:val="000028BA"/>
    <w:rsid w:val="00002922"/>
    <w:rsid w:val="00003DA2"/>
    <w:rsid w:val="00005C48"/>
    <w:rsid w:val="00006B16"/>
    <w:rsid w:val="00007454"/>
    <w:rsid w:val="00007E66"/>
    <w:rsid w:val="00010DFA"/>
    <w:rsid w:val="00011ACB"/>
    <w:rsid w:val="000137B7"/>
    <w:rsid w:val="00016253"/>
    <w:rsid w:val="00017F1E"/>
    <w:rsid w:val="00020C1F"/>
    <w:rsid w:val="000211E3"/>
    <w:rsid w:val="0002147A"/>
    <w:rsid w:val="00021F9B"/>
    <w:rsid w:val="0002209E"/>
    <w:rsid w:val="000235C1"/>
    <w:rsid w:val="00023A05"/>
    <w:rsid w:val="0002612B"/>
    <w:rsid w:val="00026418"/>
    <w:rsid w:val="000277CA"/>
    <w:rsid w:val="00027AFB"/>
    <w:rsid w:val="000320DD"/>
    <w:rsid w:val="00032A5B"/>
    <w:rsid w:val="000338D7"/>
    <w:rsid w:val="00036D02"/>
    <w:rsid w:val="00040B55"/>
    <w:rsid w:val="000418F7"/>
    <w:rsid w:val="000425FE"/>
    <w:rsid w:val="00042F27"/>
    <w:rsid w:val="00043EB3"/>
    <w:rsid w:val="0004457E"/>
    <w:rsid w:val="00044A10"/>
    <w:rsid w:val="00045223"/>
    <w:rsid w:val="00045347"/>
    <w:rsid w:val="00046EFC"/>
    <w:rsid w:val="00051C7B"/>
    <w:rsid w:val="000527A3"/>
    <w:rsid w:val="000547AA"/>
    <w:rsid w:val="00054EDA"/>
    <w:rsid w:val="0005517D"/>
    <w:rsid w:val="00055651"/>
    <w:rsid w:val="00055AC6"/>
    <w:rsid w:val="00057501"/>
    <w:rsid w:val="0006345F"/>
    <w:rsid w:val="000661FB"/>
    <w:rsid w:val="00066893"/>
    <w:rsid w:val="00066F82"/>
    <w:rsid w:val="00067D6A"/>
    <w:rsid w:val="00071C48"/>
    <w:rsid w:val="000724FF"/>
    <w:rsid w:val="00072F97"/>
    <w:rsid w:val="000731EB"/>
    <w:rsid w:val="000739CF"/>
    <w:rsid w:val="00074753"/>
    <w:rsid w:val="0007566D"/>
    <w:rsid w:val="00075788"/>
    <w:rsid w:val="00075F41"/>
    <w:rsid w:val="00075FE2"/>
    <w:rsid w:val="000766DB"/>
    <w:rsid w:val="000812B5"/>
    <w:rsid w:val="000823A1"/>
    <w:rsid w:val="00082F3B"/>
    <w:rsid w:val="00084CE5"/>
    <w:rsid w:val="00085C3F"/>
    <w:rsid w:val="00087C40"/>
    <w:rsid w:val="00090E1D"/>
    <w:rsid w:val="00091374"/>
    <w:rsid w:val="00092D5C"/>
    <w:rsid w:val="0009460D"/>
    <w:rsid w:val="000954CA"/>
    <w:rsid w:val="0009682C"/>
    <w:rsid w:val="000974D6"/>
    <w:rsid w:val="000A14E4"/>
    <w:rsid w:val="000A1E9C"/>
    <w:rsid w:val="000A4262"/>
    <w:rsid w:val="000A435D"/>
    <w:rsid w:val="000A4D35"/>
    <w:rsid w:val="000B1B45"/>
    <w:rsid w:val="000B1F34"/>
    <w:rsid w:val="000B2271"/>
    <w:rsid w:val="000B29CD"/>
    <w:rsid w:val="000B33CA"/>
    <w:rsid w:val="000B3A86"/>
    <w:rsid w:val="000B3B43"/>
    <w:rsid w:val="000B5A85"/>
    <w:rsid w:val="000C5705"/>
    <w:rsid w:val="000C7B89"/>
    <w:rsid w:val="000D2225"/>
    <w:rsid w:val="000E1B20"/>
    <w:rsid w:val="000E475B"/>
    <w:rsid w:val="000E4A4C"/>
    <w:rsid w:val="000E4DAB"/>
    <w:rsid w:val="000E5691"/>
    <w:rsid w:val="000E757A"/>
    <w:rsid w:val="000F0234"/>
    <w:rsid w:val="000F307E"/>
    <w:rsid w:val="000F4F28"/>
    <w:rsid w:val="000F6D3A"/>
    <w:rsid w:val="001008C2"/>
    <w:rsid w:val="00100A0D"/>
    <w:rsid w:val="00100CBE"/>
    <w:rsid w:val="00100CFE"/>
    <w:rsid w:val="001030C7"/>
    <w:rsid w:val="00105221"/>
    <w:rsid w:val="00105262"/>
    <w:rsid w:val="0010536F"/>
    <w:rsid w:val="00105858"/>
    <w:rsid w:val="00111583"/>
    <w:rsid w:val="00111F15"/>
    <w:rsid w:val="00116A07"/>
    <w:rsid w:val="00120485"/>
    <w:rsid w:val="00120F27"/>
    <w:rsid w:val="001213BB"/>
    <w:rsid w:val="001230CB"/>
    <w:rsid w:val="001233DD"/>
    <w:rsid w:val="0012531A"/>
    <w:rsid w:val="00132126"/>
    <w:rsid w:val="001323CB"/>
    <w:rsid w:val="0013328D"/>
    <w:rsid w:val="001378DC"/>
    <w:rsid w:val="00140D98"/>
    <w:rsid w:val="00141F19"/>
    <w:rsid w:val="00145B41"/>
    <w:rsid w:val="00147624"/>
    <w:rsid w:val="00150672"/>
    <w:rsid w:val="00150958"/>
    <w:rsid w:val="00155834"/>
    <w:rsid w:val="00160743"/>
    <w:rsid w:val="001614A4"/>
    <w:rsid w:val="00163A19"/>
    <w:rsid w:val="00163CE8"/>
    <w:rsid w:val="00165C9D"/>
    <w:rsid w:val="00167F01"/>
    <w:rsid w:val="00170111"/>
    <w:rsid w:val="001712C4"/>
    <w:rsid w:val="00171624"/>
    <w:rsid w:val="00174498"/>
    <w:rsid w:val="00174E12"/>
    <w:rsid w:val="00176356"/>
    <w:rsid w:val="001814F2"/>
    <w:rsid w:val="00181DBC"/>
    <w:rsid w:val="00182949"/>
    <w:rsid w:val="00184D1B"/>
    <w:rsid w:val="00186C7B"/>
    <w:rsid w:val="00187752"/>
    <w:rsid w:val="0019009B"/>
    <w:rsid w:val="00190D25"/>
    <w:rsid w:val="001928D8"/>
    <w:rsid w:val="00193549"/>
    <w:rsid w:val="00193BD5"/>
    <w:rsid w:val="00196517"/>
    <w:rsid w:val="00197243"/>
    <w:rsid w:val="001A0991"/>
    <w:rsid w:val="001A32DA"/>
    <w:rsid w:val="001A4727"/>
    <w:rsid w:val="001A5756"/>
    <w:rsid w:val="001A7664"/>
    <w:rsid w:val="001B0C23"/>
    <w:rsid w:val="001B2A79"/>
    <w:rsid w:val="001B2CC2"/>
    <w:rsid w:val="001B3768"/>
    <w:rsid w:val="001B43F9"/>
    <w:rsid w:val="001B6A93"/>
    <w:rsid w:val="001B72C4"/>
    <w:rsid w:val="001C0653"/>
    <w:rsid w:val="001C19D7"/>
    <w:rsid w:val="001C3505"/>
    <w:rsid w:val="001C5B81"/>
    <w:rsid w:val="001C5BA2"/>
    <w:rsid w:val="001D01A3"/>
    <w:rsid w:val="001D34A4"/>
    <w:rsid w:val="001D781A"/>
    <w:rsid w:val="001E3150"/>
    <w:rsid w:val="001E4185"/>
    <w:rsid w:val="001E5C2D"/>
    <w:rsid w:val="001E6A51"/>
    <w:rsid w:val="001E7057"/>
    <w:rsid w:val="001F03F2"/>
    <w:rsid w:val="001F0B54"/>
    <w:rsid w:val="001F5BB4"/>
    <w:rsid w:val="001F655B"/>
    <w:rsid w:val="002031C4"/>
    <w:rsid w:val="0020541A"/>
    <w:rsid w:val="00211D4D"/>
    <w:rsid w:val="00211DC9"/>
    <w:rsid w:val="00212272"/>
    <w:rsid w:val="00212290"/>
    <w:rsid w:val="002225CD"/>
    <w:rsid w:val="00222F69"/>
    <w:rsid w:val="00224D64"/>
    <w:rsid w:val="002258BB"/>
    <w:rsid w:val="00230166"/>
    <w:rsid w:val="00231B51"/>
    <w:rsid w:val="00231C2F"/>
    <w:rsid w:val="00231E0F"/>
    <w:rsid w:val="00231EB9"/>
    <w:rsid w:val="002325F8"/>
    <w:rsid w:val="002347C8"/>
    <w:rsid w:val="002362D4"/>
    <w:rsid w:val="00237437"/>
    <w:rsid w:val="00237CBE"/>
    <w:rsid w:val="00237DA9"/>
    <w:rsid w:val="00241987"/>
    <w:rsid w:val="00244B80"/>
    <w:rsid w:val="00247B77"/>
    <w:rsid w:val="002515DC"/>
    <w:rsid w:val="00254F58"/>
    <w:rsid w:val="00255DD9"/>
    <w:rsid w:val="0026074C"/>
    <w:rsid w:val="002607A2"/>
    <w:rsid w:val="00260D21"/>
    <w:rsid w:val="0026254D"/>
    <w:rsid w:val="00263F46"/>
    <w:rsid w:val="00264A7E"/>
    <w:rsid w:val="00264E11"/>
    <w:rsid w:val="00266E7D"/>
    <w:rsid w:val="00272AF8"/>
    <w:rsid w:val="00273045"/>
    <w:rsid w:val="0027772C"/>
    <w:rsid w:val="00277B25"/>
    <w:rsid w:val="00280D97"/>
    <w:rsid w:val="00282CD1"/>
    <w:rsid w:val="00284595"/>
    <w:rsid w:val="00284F3A"/>
    <w:rsid w:val="00286F9C"/>
    <w:rsid w:val="00287B90"/>
    <w:rsid w:val="00292455"/>
    <w:rsid w:val="00293D54"/>
    <w:rsid w:val="002A0546"/>
    <w:rsid w:val="002A05EB"/>
    <w:rsid w:val="002A15CE"/>
    <w:rsid w:val="002A17A5"/>
    <w:rsid w:val="002A1A53"/>
    <w:rsid w:val="002A5E1B"/>
    <w:rsid w:val="002B0194"/>
    <w:rsid w:val="002B019F"/>
    <w:rsid w:val="002B058D"/>
    <w:rsid w:val="002B1899"/>
    <w:rsid w:val="002B31CA"/>
    <w:rsid w:val="002B4926"/>
    <w:rsid w:val="002B6301"/>
    <w:rsid w:val="002C0183"/>
    <w:rsid w:val="002C19AB"/>
    <w:rsid w:val="002C2912"/>
    <w:rsid w:val="002C337F"/>
    <w:rsid w:val="002C4754"/>
    <w:rsid w:val="002C799A"/>
    <w:rsid w:val="002D0800"/>
    <w:rsid w:val="002D225B"/>
    <w:rsid w:val="002D295D"/>
    <w:rsid w:val="002D3554"/>
    <w:rsid w:val="002D4461"/>
    <w:rsid w:val="002D5F50"/>
    <w:rsid w:val="002D63FF"/>
    <w:rsid w:val="002D72FB"/>
    <w:rsid w:val="002E38DF"/>
    <w:rsid w:val="002E693D"/>
    <w:rsid w:val="002E7852"/>
    <w:rsid w:val="002F1369"/>
    <w:rsid w:val="002F3403"/>
    <w:rsid w:val="002F4051"/>
    <w:rsid w:val="002F4EB8"/>
    <w:rsid w:val="002F71F1"/>
    <w:rsid w:val="00306308"/>
    <w:rsid w:val="0030684C"/>
    <w:rsid w:val="00307B30"/>
    <w:rsid w:val="00307B74"/>
    <w:rsid w:val="0031300A"/>
    <w:rsid w:val="00313F8E"/>
    <w:rsid w:val="00314644"/>
    <w:rsid w:val="003202F8"/>
    <w:rsid w:val="0032129E"/>
    <w:rsid w:val="003219E9"/>
    <w:rsid w:val="0032239D"/>
    <w:rsid w:val="0032352F"/>
    <w:rsid w:val="00323DDF"/>
    <w:rsid w:val="00323E0C"/>
    <w:rsid w:val="00325813"/>
    <w:rsid w:val="00325D45"/>
    <w:rsid w:val="003277ED"/>
    <w:rsid w:val="00332339"/>
    <w:rsid w:val="00332AE0"/>
    <w:rsid w:val="00334B33"/>
    <w:rsid w:val="0033540E"/>
    <w:rsid w:val="003356C1"/>
    <w:rsid w:val="00336539"/>
    <w:rsid w:val="0034002B"/>
    <w:rsid w:val="00340F9A"/>
    <w:rsid w:val="003411BF"/>
    <w:rsid w:val="00342D34"/>
    <w:rsid w:val="003532B2"/>
    <w:rsid w:val="003546BE"/>
    <w:rsid w:val="00355951"/>
    <w:rsid w:val="00356B69"/>
    <w:rsid w:val="003633BB"/>
    <w:rsid w:val="003640F4"/>
    <w:rsid w:val="00367D32"/>
    <w:rsid w:val="00370E98"/>
    <w:rsid w:val="00372901"/>
    <w:rsid w:val="00373085"/>
    <w:rsid w:val="00376C0A"/>
    <w:rsid w:val="00380E5B"/>
    <w:rsid w:val="003827CD"/>
    <w:rsid w:val="00384C5F"/>
    <w:rsid w:val="003857A5"/>
    <w:rsid w:val="00385F18"/>
    <w:rsid w:val="00390D97"/>
    <w:rsid w:val="00391CAC"/>
    <w:rsid w:val="0039392A"/>
    <w:rsid w:val="003947DF"/>
    <w:rsid w:val="00394D4D"/>
    <w:rsid w:val="00394E31"/>
    <w:rsid w:val="0039790E"/>
    <w:rsid w:val="003A2EAE"/>
    <w:rsid w:val="003A463E"/>
    <w:rsid w:val="003A4654"/>
    <w:rsid w:val="003A5764"/>
    <w:rsid w:val="003A665C"/>
    <w:rsid w:val="003A7048"/>
    <w:rsid w:val="003B29FD"/>
    <w:rsid w:val="003B375E"/>
    <w:rsid w:val="003B3E72"/>
    <w:rsid w:val="003B4549"/>
    <w:rsid w:val="003C08E3"/>
    <w:rsid w:val="003D1179"/>
    <w:rsid w:val="003D1904"/>
    <w:rsid w:val="003D1E30"/>
    <w:rsid w:val="003D410D"/>
    <w:rsid w:val="003D53CA"/>
    <w:rsid w:val="003D6E06"/>
    <w:rsid w:val="003E05F0"/>
    <w:rsid w:val="003E32E9"/>
    <w:rsid w:val="003E521A"/>
    <w:rsid w:val="003E6A8C"/>
    <w:rsid w:val="003E6EE1"/>
    <w:rsid w:val="003E711A"/>
    <w:rsid w:val="003E71B8"/>
    <w:rsid w:val="003E7DCB"/>
    <w:rsid w:val="003F1E2B"/>
    <w:rsid w:val="0040055E"/>
    <w:rsid w:val="00404C51"/>
    <w:rsid w:val="00404E07"/>
    <w:rsid w:val="004068D8"/>
    <w:rsid w:val="004109B5"/>
    <w:rsid w:val="00412516"/>
    <w:rsid w:val="00413084"/>
    <w:rsid w:val="00414949"/>
    <w:rsid w:val="00414C0A"/>
    <w:rsid w:val="00415D33"/>
    <w:rsid w:val="00416A43"/>
    <w:rsid w:val="0041720D"/>
    <w:rsid w:val="00417EB8"/>
    <w:rsid w:val="00422EB1"/>
    <w:rsid w:val="00431EB4"/>
    <w:rsid w:val="00432BA0"/>
    <w:rsid w:val="00437640"/>
    <w:rsid w:val="004414E6"/>
    <w:rsid w:val="00445578"/>
    <w:rsid w:val="00445E06"/>
    <w:rsid w:val="0044748D"/>
    <w:rsid w:val="004504EA"/>
    <w:rsid w:val="004516C8"/>
    <w:rsid w:val="00451B4D"/>
    <w:rsid w:val="00451CC7"/>
    <w:rsid w:val="00452D79"/>
    <w:rsid w:val="00453C24"/>
    <w:rsid w:val="00454073"/>
    <w:rsid w:val="00455168"/>
    <w:rsid w:val="004560F7"/>
    <w:rsid w:val="004572C7"/>
    <w:rsid w:val="00457BD6"/>
    <w:rsid w:val="00461A4B"/>
    <w:rsid w:val="004629F0"/>
    <w:rsid w:val="00462F8F"/>
    <w:rsid w:val="0046692D"/>
    <w:rsid w:val="00466E1B"/>
    <w:rsid w:val="00471407"/>
    <w:rsid w:val="00473B80"/>
    <w:rsid w:val="00475BC6"/>
    <w:rsid w:val="00475F8F"/>
    <w:rsid w:val="0047783F"/>
    <w:rsid w:val="00484436"/>
    <w:rsid w:val="0048452C"/>
    <w:rsid w:val="004867F6"/>
    <w:rsid w:val="0048712C"/>
    <w:rsid w:val="00492207"/>
    <w:rsid w:val="00493726"/>
    <w:rsid w:val="00493C03"/>
    <w:rsid w:val="00494682"/>
    <w:rsid w:val="00494E82"/>
    <w:rsid w:val="00495E38"/>
    <w:rsid w:val="004A23CD"/>
    <w:rsid w:val="004A2560"/>
    <w:rsid w:val="004A2C19"/>
    <w:rsid w:val="004A2DEE"/>
    <w:rsid w:val="004A72DE"/>
    <w:rsid w:val="004B0B19"/>
    <w:rsid w:val="004B18FC"/>
    <w:rsid w:val="004B22F2"/>
    <w:rsid w:val="004B5D9D"/>
    <w:rsid w:val="004B621D"/>
    <w:rsid w:val="004B6E8C"/>
    <w:rsid w:val="004B7AD1"/>
    <w:rsid w:val="004C1254"/>
    <w:rsid w:val="004C1C72"/>
    <w:rsid w:val="004C3104"/>
    <w:rsid w:val="004C3B36"/>
    <w:rsid w:val="004C3BEB"/>
    <w:rsid w:val="004C5768"/>
    <w:rsid w:val="004D0917"/>
    <w:rsid w:val="004D14F5"/>
    <w:rsid w:val="004D184D"/>
    <w:rsid w:val="004D29D9"/>
    <w:rsid w:val="004D31E2"/>
    <w:rsid w:val="004D543F"/>
    <w:rsid w:val="004D792F"/>
    <w:rsid w:val="004E0F10"/>
    <w:rsid w:val="004E7408"/>
    <w:rsid w:val="004F01FC"/>
    <w:rsid w:val="004F0999"/>
    <w:rsid w:val="004F0A38"/>
    <w:rsid w:val="004F1207"/>
    <w:rsid w:val="004F250C"/>
    <w:rsid w:val="004F2A8F"/>
    <w:rsid w:val="0050175D"/>
    <w:rsid w:val="005037C9"/>
    <w:rsid w:val="00510754"/>
    <w:rsid w:val="00511424"/>
    <w:rsid w:val="0051181F"/>
    <w:rsid w:val="005127E0"/>
    <w:rsid w:val="00512C9E"/>
    <w:rsid w:val="00512FE5"/>
    <w:rsid w:val="00515655"/>
    <w:rsid w:val="005158FB"/>
    <w:rsid w:val="00515FD6"/>
    <w:rsid w:val="00524067"/>
    <w:rsid w:val="00530797"/>
    <w:rsid w:val="00531165"/>
    <w:rsid w:val="005328AE"/>
    <w:rsid w:val="005370D8"/>
    <w:rsid w:val="005374F9"/>
    <w:rsid w:val="0054006B"/>
    <w:rsid w:val="00540D82"/>
    <w:rsid w:val="00542881"/>
    <w:rsid w:val="005431C9"/>
    <w:rsid w:val="00543B56"/>
    <w:rsid w:val="005449E7"/>
    <w:rsid w:val="00545DEB"/>
    <w:rsid w:val="0054770E"/>
    <w:rsid w:val="00547BAE"/>
    <w:rsid w:val="00551ACD"/>
    <w:rsid w:val="00553402"/>
    <w:rsid w:val="00553833"/>
    <w:rsid w:val="0055406E"/>
    <w:rsid w:val="005549A5"/>
    <w:rsid w:val="00554A91"/>
    <w:rsid w:val="005609A5"/>
    <w:rsid w:val="00562734"/>
    <w:rsid w:val="0056382A"/>
    <w:rsid w:val="00565866"/>
    <w:rsid w:val="00565FD8"/>
    <w:rsid w:val="00570322"/>
    <w:rsid w:val="00572D19"/>
    <w:rsid w:val="005731E0"/>
    <w:rsid w:val="005751F4"/>
    <w:rsid w:val="00580DCD"/>
    <w:rsid w:val="005816BE"/>
    <w:rsid w:val="00582248"/>
    <w:rsid w:val="00582D98"/>
    <w:rsid w:val="00584E98"/>
    <w:rsid w:val="00586AFF"/>
    <w:rsid w:val="00586B20"/>
    <w:rsid w:val="00590EA7"/>
    <w:rsid w:val="0059187C"/>
    <w:rsid w:val="005926AA"/>
    <w:rsid w:val="0059331E"/>
    <w:rsid w:val="00594DBB"/>
    <w:rsid w:val="00597AE0"/>
    <w:rsid w:val="00597D96"/>
    <w:rsid w:val="005A1167"/>
    <w:rsid w:val="005B1A5D"/>
    <w:rsid w:val="005B4567"/>
    <w:rsid w:val="005B4761"/>
    <w:rsid w:val="005B4A55"/>
    <w:rsid w:val="005B5132"/>
    <w:rsid w:val="005B5C54"/>
    <w:rsid w:val="005B61FD"/>
    <w:rsid w:val="005B7C94"/>
    <w:rsid w:val="005C138D"/>
    <w:rsid w:val="005C3CEA"/>
    <w:rsid w:val="005C3EDC"/>
    <w:rsid w:val="005C43DD"/>
    <w:rsid w:val="005C5D89"/>
    <w:rsid w:val="005D134C"/>
    <w:rsid w:val="005D15F8"/>
    <w:rsid w:val="005D16EE"/>
    <w:rsid w:val="005D1D90"/>
    <w:rsid w:val="005D2368"/>
    <w:rsid w:val="005D2446"/>
    <w:rsid w:val="005D452F"/>
    <w:rsid w:val="005D4AA7"/>
    <w:rsid w:val="005D6800"/>
    <w:rsid w:val="005D7F7F"/>
    <w:rsid w:val="005E19AC"/>
    <w:rsid w:val="005E35C9"/>
    <w:rsid w:val="005E3E69"/>
    <w:rsid w:val="005F0FF1"/>
    <w:rsid w:val="005F1159"/>
    <w:rsid w:val="005F252D"/>
    <w:rsid w:val="005F309F"/>
    <w:rsid w:val="005F3CA7"/>
    <w:rsid w:val="005F4EEA"/>
    <w:rsid w:val="005F5836"/>
    <w:rsid w:val="005F5CCE"/>
    <w:rsid w:val="006025D4"/>
    <w:rsid w:val="006039A2"/>
    <w:rsid w:val="00603A40"/>
    <w:rsid w:val="00603F64"/>
    <w:rsid w:val="00607FB2"/>
    <w:rsid w:val="00610CC6"/>
    <w:rsid w:val="00610F59"/>
    <w:rsid w:val="006121D3"/>
    <w:rsid w:val="00614608"/>
    <w:rsid w:val="00614DF6"/>
    <w:rsid w:val="00614EB4"/>
    <w:rsid w:val="0061584A"/>
    <w:rsid w:val="00617024"/>
    <w:rsid w:val="0061749D"/>
    <w:rsid w:val="006202DB"/>
    <w:rsid w:val="00620C9A"/>
    <w:rsid w:val="006219B7"/>
    <w:rsid w:val="006224F3"/>
    <w:rsid w:val="006225EF"/>
    <w:rsid w:val="00623C22"/>
    <w:rsid w:val="006244BE"/>
    <w:rsid w:val="006250A1"/>
    <w:rsid w:val="006304C0"/>
    <w:rsid w:val="00631A82"/>
    <w:rsid w:val="0063494F"/>
    <w:rsid w:val="0063680E"/>
    <w:rsid w:val="00641AD3"/>
    <w:rsid w:val="006471F1"/>
    <w:rsid w:val="00647317"/>
    <w:rsid w:val="00652D3F"/>
    <w:rsid w:val="006551CC"/>
    <w:rsid w:val="00655317"/>
    <w:rsid w:val="0065708B"/>
    <w:rsid w:val="006578CE"/>
    <w:rsid w:val="00657D97"/>
    <w:rsid w:val="0066147A"/>
    <w:rsid w:val="006647F3"/>
    <w:rsid w:val="00664BF4"/>
    <w:rsid w:val="006654AC"/>
    <w:rsid w:val="00671431"/>
    <w:rsid w:val="006739D4"/>
    <w:rsid w:val="00676148"/>
    <w:rsid w:val="00676CF3"/>
    <w:rsid w:val="0067752D"/>
    <w:rsid w:val="00680F51"/>
    <w:rsid w:val="00682EA6"/>
    <w:rsid w:val="00684ABB"/>
    <w:rsid w:val="00690BD7"/>
    <w:rsid w:val="0069405C"/>
    <w:rsid w:val="00694327"/>
    <w:rsid w:val="00694454"/>
    <w:rsid w:val="00696461"/>
    <w:rsid w:val="006A13AE"/>
    <w:rsid w:val="006A4560"/>
    <w:rsid w:val="006A46ED"/>
    <w:rsid w:val="006A5A6D"/>
    <w:rsid w:val="006A5EFA"/>
    <w:rsid w:val="006A6E46"/>
    <w:rsid w:val="006B2818"/>
    <w:rsid w:val="006B4277"/>
    <w:rsid w:val="006C23F5"/>
    <w:rsid w:val="006C24E4"/>
    <w:rsid w:val="006C5D68"/>
    <w:rsid w:val="006C63D9"/>
    <w:rsid w:val="006C7ED8"/>
    <w:rsid w:val="006D34AF"/>
    <w:rsid w:val="006D39BE"/>
    <w:rsid w:val="006D3F76"/>
    <w:rsid w:val="006D45D5"/>
    <w:rsid w:val="006E0171"/>
    <w:rsid w:val="006E05CC"/>
    <w:rsid w:val="006E0B45"/>
    <w:rsid w:val="006E1CA9"/>
    <w:rsid w:val="006E1FAD"/>
    <w:rsid w:val="006E3809"/>
    <w:rsid w:val="006E3F51"/>
    <w:rsid w:val="006E4919"/>
    <w:rsid w:val="006E5EC1"/>
    <w:rsid w:val="006F294A"/>
    <w:rsid w:val="006F3054"/>
    <w:rsid w:val="006F3DA9"/>
    <w:rsid w:val="006F4048"/>
    <w:rsid w:val="006F5666"/>
    <w:rsid w:val="006F6211"/>
    <w:rsid w:val="006F6562"/>
    <w:rsid w:val="007000B2"/>
    <w:rsid w:val="00701B47"/>
    <w:rsid w:val="00702A0A"/>
    <w:rsid w:val="007052C9"/>
    <w:rsid w:val="00706C80"/>
    <w:rsid w:val="00710456"/>
    <w:rsid w:val="00711EEB"/>
    <w:rsid w:val="00714C8D"/>
    <w:rsid w:val="007169DF"/>
    <w:rsid w:val="00716CBA"/>
    <w:rsid w:val="00717A49"/>
    <w:rsid w:val="0072094F"/>
    <w:rsid w:val="00721EB0"/>
    <w:rsid w:val="00721F2B"/>
    <w:rsid w:val="00722236"/>
    <w:rsid w:val="00723FFE"/>
    <w:rsid w:val="00725BE7"/>
    <w:rsid w:val="00727A4E"/>
    <w:rsid w:val="00730AD1"/>
    <w:rsid w:val="007313D5"/>
    <w:rsid w:val="0073186F"/>
    <w:rsid w:val="00731FDF"/>
    <w:rsid w:val="00735E0B"/>
    <w:rsid w:val="007365AB"/>
    <w:rsid w:val="00737D6B"/>
    <w:rsid w:val="007403F5"/>
    <w:rsid w:val="00740E82"/>
    <w:rsid w:val="00741028"/>
    <w:rsid w:val="007414A6"/>
    <w:rsid w:val="00741956"/>
    <w:rsid w:val="007419B2"/>
    <w:rsid w:val="00741D3F"/>
    <w:rsid w:val="007566E1"/>
    <w:rsid w:val="007629AC"/>
    <w:rsid w:val="00762CBC"/>
    <w:rsid w:val="00763188"/>
    <w:rsid w:val="007634AE"/>
    <w:rsid w:val="0076389B"/>
    <w:rsid w:val="00765171"/>
    <w:rsid w:val="00771946"/>
    <w:rsid w:val="00771D1A"/>
    <w:rsid w:val="00772718"/>
    <w:rsid w:val="00774146"/>
    <w:rsid w:val="00774DBE"/>
    <w:rsid w:val="00776DC1"/>
    <w:rsid w:val="00780813"/>
    <w:rsid w:val="007813F9"/>
    <w:rsid w:val="00781469"/>
    <w:rsid w:val="00783417"/>
    <w:rsid w:val="00785309"/>
    <w:rsid w:val="00786D9C"/>
    <w:rsid w:val="00787881"/>
    <w:rsid w:val="0079198F"/>
    <w:rsid w:val="00791E51"/>
    <w:rsid w:val="00793D37"/>
    <w:rsid w:val="0079460E"/>
    <w:rsid w:val="00794BDD"/>
    <w:rsid w:val="007A26A6"/>
    <w:rsid w:val="007A311F"/>
    <w:rsid w:val="007A59C7"/>
    <w:rsid w:val="007A5D2D"/>
    <w:rsid w:val="007A6EA5"/>
    <w:rsid w:val="007B0CA6"/>
    <w:rsid w:val="007B5793"/>
    <w:rsid w:val="007B65CB"/>
    <w:rsid w:val="007B73D1"/>
    <w:rsid w:val="007C5A1F"/>
    <w:rsid w:val="007C5CDA"/>
    <w:rsid w:val="007C62C7"/>
    <w:rsid w:val="007C7E7B"/>
    <w:rsid w:val="007D1491"/>
    <w:rsid w:val="007D1B08"/>
    <w:rsid w:val="007D3317"/>
    <w:rsid w:val="007D33E5"/>
    <w:rsid w:val="007D3CF5"/>
    <w:rsid w:val="007D3F9C"/>
    <w:rsid w:val="007D732B"/>
    <w:rsid w:val="007D742F"/>
    <w:rsid w:val="007E0A80"/>
    <w:rsid w:val="007E38FA"/>
    <w:rsid w:val="007E71F8"/>
    <w:rsid w:val="007F0A56"/>
    <w:rsid w:val="007F1332"/>
    <w:rsid w:val="007F2B7E"/>
    <w:rsid w:val="007F36D6"/>
    <w:rsid w:val="007F4328"/>
    <w:rsid w:val="007F4457"/>
    <w:rsid w:val="007F48BB"/>
    <w:rsid w:val="0080088B"/>
    <w:rsid w:val="00802521"/>
    <w:rsid w:val="00803182"/>
    <w:rsid w:val="008037FD"/>
    <w:rsid w:val="00803C31"/>
    <w:rsid w:val="00804698"/>
    <w:rsid w:val="008120DD"/>
    <w:rsid w:val="0081241F"/>
    <w:rsid w:val="00813106"/>
    <w:rsid w:val="008132FC"/>
    <w:rsid w:val="00813607"/>
    <w:rsid w:val="00817EBC"/>
    <w:rsid w:val="00821588"/>
    <w:rsid w:val="00825DFB"/>
    <w:rsid w:val="00825FD0"/>
    <w:rsid w:val="00841347"/>
    <w:rsid w:val="00842925"/>
    <w:rsid w:val="00844C07"/>
    <w:rsid w:val="00847201"/>
    <w:rsid w:val="00847706"/>
    <w:rsid w:val="00851981"/>
    <w:rsid w:val="008521B5"/>
    <w:rsid w:val="00856476"/>
    <w:rsid w:val="0086164D"/>
    <w:rsid w:val="00861E7E"/>
    <w:rsid w:val="0086242F"/>
    <w:rsid w:val="008638B8"/>
    <w:rsid w:val="00864228"/>
    <w:rsid w:val="00866038"/>
    <w:rsid w:val="008678CB"/>
    <w:rsid w:val="00870D15"/>
    <w:rsid w:val="00870E9F"/>
    <w:rsid w:val="0087434A"/>
    <w:rsid w:val="008775BF"/>
    <w:rsid w:val="00877B8D"/>
    <w:rsid w:val="0088123C"/>
    <w:rsid w:val="00881384"/>
    <w:rsid w:val="00881FC6"/>
    <w:rsid w:val="008904A8"/>
    <w:rsid w:val="00890A19"/>
    <w:rsid w:val="00890DC9"/>
    <w:rsid w:val="00892031"/>
    <w:rsid w:val="008939AE"/>
    <w:rsid w:val="00893AD1"/>
    <w:rsid w:val="008957D5"/>
    <w:rsid w:val="00896E73"/>
    <w:rsid w:val="008979E2"/>
    <w:rsid w:val="008A0502"/>
    <w:rsid w:val="008A454D"/>
    <w:rsid w:val="008B09E6"/>
    <w:rsid w:val="008B23DC"/>
    <w:rsid w:val="008B52E7"/>
    <w:rsid w:val="008B6692"/>
    <w:rsid w:val="008C0403"/>
    <w:rsid w:val="008C7762"/>
    <w:rsid w:val="008D30EB"/>
    <w:rsid w:val="008D3548"/>
    <w:rsid w:val="008D5DF9"/>
    <w:rsid w:val="008D719B"/>
    <w:rsid w:val="008E0118"/>
    <w:rsid w:val="008E2572"/>
    <w:rsid w:val="008E3C82"/>
    <w:rsid w:val="008E3E62"/>
    <w:rsid w:val="008E436E"/>
    <w:rsid w:val="008E5126"/>
    <w:rsid w:val="008E59D1"/>
    <w:rsid w:val="008F0494"/>
    <w:rsid w:val="008F24C0"/>
    <w:rsid w:val="008F489F"/>
    <w:rsid w:val="008F6B4B"/>
    <w:rsid w:val="008F6EF9"/>
    <w:rsid w:val="008F7551"/>
    <w:rsid w:val="009002BC"/>
    <w:rsid w:val="00903A1C"/>
    <w:rsid w:val="009104F8"/>
    <w:rsid w:val="00917139"/>
    <w:rsid w:val="00920B47"/>
    <w:rsid w:val="0092208F"/>
    <w:rsid w:val="009233E4"/>
    <w:rsid w:val="0092381A"/>
    <w:rsid w:val="0092430E"/>
    <w:rsid w:val="009324EA"/>
    <w:rsid w:val="00933D1D"/>
    <w:rsid w:val="009450E3"/>
    <w:rsid w:val="00947790"/>
    <w:rsid w:val="009478CD"/>
    <w:rsid w:val="009506AD"/>
    <w:rsid w:val="00951F76"/>
    <w:rsid w:val="00952F03"/>
    <w:rsid w:val="0095537A"/>
    <w:rsid w:val="0096193D"/>
    <w:rsid w:val="00963FB7"/>
    <w:rsid w:val="009659EE"/>
    <w:rsid w:val="009663F6"/>
    <w:rsid w:val="00967E4F"/>
    <w:rsid w:val="009717A5"/>
    <w:rsid w:val="00971A7F"/>
    <w:rsid w:val="00972EE7"/>
    <w:rsid w:val="0097509D"/>
    <w:rsid w:val="009754D4"/>
    <w:rsid w:val="00975A3C"/>
    <w:rsid w:val="0098073B"/>
    <w:rsid w:val="0098108D"/>
    <w:rsid w:val="00983388"/>
    <w:rsid w:val="00983439"/>
    <w:rsid w:val="00983591"/>
    <w:rsid w:val="00983A61"/>
    <w:rsid w:val="00984568"/>
    <w:rsid w:val="009849EB"/>
    <w:rsid w:val="0098619D"/>
    <w:rsid w:val="009911C3"/>
    <w:rsid w:val="009918C5"/>
    <w:rsid w:val="00991EBB"/>
    <w:rsid w:val="00992394"/>
    <w:rsid w:val="00993F9B"/>
    <w:rsid w:val="00994458"/>
    <w:rsid w:val="00995265"/>
    <w:rsid w:val="00995BFD"/>
    <w:rsid w:val="0099606B"/>
    <w:rsid w:val="009A243C"/>
    <w:rsid w:val="009A2789"/>
    <w:rsid w:val="009A454E"/>
    <w:rsid w:val="009A7FD7"/>
    <w:rsid w:val="009B2CB0"/>
    <w:rsid w:val="009B342D"/>
    <w:rsid w:val="009B3F8B"/>
    <w:rsid w:val="009B4583"/>
    <w:rsid w:val="009B4791"/>
    <w:rsid w:val="009B4C03"/>
    <w:rsid w:val="009B51A5"/>
    <w:rsid w:val="009B70D9"/>
    <w:rsid w:val="009B7321"/>
    <w:rsid w:val="009B7506"/>
    <w:rsid w:val="009C213C"/>
    <w:rsid w:val="009C3A20"/>
    <w:rsid w:val="009C4BCC"/>
    <w:rsid w:val="009D0B27"/>
    <w:rsid w:val="009D2C98"/>
    <w:rsid w:val="009D5565"/>
    <w:rsid w:val="009E3BF0"/>
    <w:rsid w:val="009E5196"/>
    <w:rsid w:val="009E65F6"/>
    <w:rsid w:val="009E7553"/>
    <w:rsid w:val="009E7C41"/>
    <w:rsid w:val="009F1747"/>
    <w:rsid w:val="009F203E"/>
    <w:rsid w:val="009F4264"/>
    <w:rsid w:val="009F5791"/>
    <w:rsid w:val="009F7075"/>
    <w:rsid w:val="00A011D8"/>
    <w:rsid w:val="00A0175D"/>
    <w:rsid w:val="00A018A3"/>
    <w:rsid w:val="00A01990"/>
    <w:rsid w:val="00A051C2"/>
    <w:rsid w:val="00A06A6D"/>
    <w:rsid w:val="00A1229C"/>
    <w:rsid w:val="00A12A0B"/>
    <w:rsid w:val="00A148FD"/>
    <w:rsid w:val="00A23BA3"/>
    <w:rsid w:val="00A24752"/>
    <w:rsid w:val="00A2519B"/>
    <w:rsid w:val="00A25A8A"/>
    <w:rsid w:val="00A26BBC"/>
    <w:rsid w:val="00A26BC8"/>
    <w:rsid w:val="00A30051"/>
    <w:rsid w:val="00A30792"/>
    <w:rsid w:val="00A322F4"/>
    <w:rsid w:val="00A3272B"/>
    <w:rsid w:val="00A35979"/>
    <w:rsid w:val="00A35A4C"/>
    <w:rsid w:val="00A371DF"/>
    <w:rsid w:val="00A40388"/>
    <w:rsid w:val="00A424BF"/>
    <w:rsid w:val="00A42504"/>
    <w:rsid w:val="00A435D1"/>
    <w:rsid w:val="00A473F7"/>
    <w:rsid w:val="00A476FF"/>
    <w:rsid w:val="00A523D9"/>
    <w:rsid w:val="00A52611"/>
    <w:rsid w:val="00A60460"/>
    <w:rsid w:val="00A61974"/>
    <w:rsid w:val="00A62EFC"/>
    <w:rsid w:val="00A6414F"/>
    <w:rsid w:val="00A66E7D"/>
    <w:rsid w:val="00A71F3A"/>
    <w:rsid w:val="00A76801"/>
    <w:rsid w:val="00A77748"/>
    <w:rsid w:val="00A82658"/>
    <w:rsid w:val="00A85F44"/>
    <w:rsid w:val="00A9008E"/>
    <w:rsid w:val="00A90D8C"/>
    <w:rsid w:val="00A9172E"/>
    <w:rsid w:val="00A933D9"/>
    <w:rsid w:val="00A9376E"/>
    <w:rsid w:val="00A94F38"/>
    <w:rsid w:val="00A953F0"/>
    <w:rsid w:val="00A95D9A"/>
    <w:rsid w:val="00A96911"/>
    <w:rsid w:val="00AA0564"/>
    <w:rsid w:val="00AA3105"/>
    <w:rsid w:val="00AA333C"/>
    <w:rsid w:val="00AA569C"/>
    <w:rsid w:val="00AA6A50"/>
    <w:rsid w:val="00AB2A05"/>
    <w:rsid w:val="00AB496F"/>
    <w:rsid w:val="00AB786A"/>
    <w:rsid w:val="00AC1405"/>
    <w:rsid w:val="00AC23C6"/>
    <w:rsid w:val="00AC2FB9"/>
    <w:rsid w:val="00AC4BCE"/>
    <w:rsid w:val="00AC7ECC"/>
    <w:rsid w:val="00AD2446"/>
    <w:rsid w:val="00AD3C6A"/>
    <w:rsid w:val="00AD3E8A"/>
    <w:rsid w:val="00AD48B4"/>
    <w:rsid w:val="00AD5A30"/>
    <w:rsid w:val="00AE023D"/>
    <w:rsid w:val="00AE1138"/>
    <w:rsid w:val="00AE1F54"/>
    <w:rsid w:val="00AE3C03"/>
    <w:rsid w:val="00AE4850"/>
    <w:rsid w:val="00AE5435"/>
    <w:rsid w:val="00AF0AF0"/>
    <w:rsid w:val="00AF2898"/>
    <w:rsid w:val="00AF2E1A"/>
    <w:rsid w:val="00AF457F"/>
    <w:rsid w:val="00B021CC"/>
    <w:rsid w:val="00B02858"/>
    <w:rsid w:val="00B053B4"/>
    <w:rsid w:val="00B06ADD"/>
    <w:rsid w:val="00B124B4"/>
    <w:rsid w:val="00B137B4"/>
    <w:rsid w:val="00B1405A"/>
    <w:rsid w:val="00B17173"/>
    <w:rsid w:val="00B22129"/>
    <w:rsid w:val="00B22689"/>
    <w:rsid w:val="00B23F1E"/>
    <w:rsid w:val="00B254BA"/>
    <w:rsid w:val="00B255CB"/>
    <w:rsid w:val="00B25D2A"/>
    <w:rsid w:val="00B25E52"/>
    <w:rsid w:val="00B26981"/>
    <w:rsid w:val="00B26F0F"/>
    <w:rsid w:val="00B310C5"/>
    <w:rsid w:val="00B33F1C"/>
    <w:rsid w:val="00B3460F"/>
    <w:rsid w:val="00B35A0D"/>
    <w:rsid w:val="00B3700D"/>
    <w:rsid w:val="00B41249"/>
    <w:rsid w:val="00B45B20"/>
    <w:rsid w:val="00B53F24"/>
    <w:rsid w:val="00B57200"/>
    <w:rsid w:val="00B63006"/>
    <w:rsid w:val="00B635C6"/>
    <w:rsid w:val="00B657ED"/>
    <w:rsid w:val="00B668C2"/>
    <w:rsid w:val="00B67773"/>
    <w:rsid w:val="00B718FC"/>
    <w:rsid w:val="00B71C5A"/>
    <w:rsid w:val="00B72580"/>
    <w:rsid w:val="00B72A1C"/>
    <w:rsid w:val="00B734B2"/>
    <w:rsid w:val="00B73CF6"/>
    <w:rsid w:val="00B74D9A"/>
    <w:rsid w:val="00B77E6E"/>
    <w:rsid w:val="00B80319"/>
    <w:rsid w:val="00B80A83"/>
    <w:rsid w:val="00B82364"/>
    <w:rsid w:val="00B82746"/>
    <w:rsid w:val="00B833C2"/>
    <w:rsid w:val="00B83C4E"/>
    <w:rsid w:val="00B84E82"/>
    <w:rsid w:val="00B856B3"/>
    <w:rsid w:val="00B94952"/>
    <w:rsid w:val="00B95179"/>
    <w:rsid w:val="00B95F0B"/>
    <w:rsid w:val="00B9635B"/>
    <w:rsid w:val="00B97D53"/>
    <w:rsid w:val="00B97F9C"/>
    <w:rsid w:val="00BA028F"/>
    <w:rsid w:val="00BA0602"/>
    <w:rsid w:val="00BA0DF2"/>
    <w:rsid w:val="00BA265C"/>
    <w:rsid w:val="00BA3591"/>
    <w:rsid w:val="00BA41F8"/>
    <w:rsid w:val="00BA42CE"/>
    <w:rsid w:val="00BA45F7"/>
    <w:rsid w:val="00BB3BB8"/>
    <w:rsid w:val="00BB5F5E"/>
    <w:rsid w:val="00BB6F19"/>
    <w:rsid w:val="00BC2B8C"/>
    <w:rsid w:val="00BC6ED1"/>
    <w:rsid w:val="00BD376A"/>
    <w:rsid w:val="00BD3A07"/>
    <w:rsid w:val="00BD4717"/>
    <w:rsid w:val="00BD56F5"/>
    <w:rsid w:val="00BD58E0"/>
    <w:rsid w:val="00BD64C1"/>
    <w:rsid w:val="00BD68B9"/>
    <w:rsid w:val="00BD774E"/>
    <w:rsid w:val="00BE1506"/>
    <w:rsid w:val="00BE1C63"/>
    <w:rsid w:val="00BE3764"/>
    <w:rsid w:val="00BE4356"/>
    <w:rsid w:val="00BE45DA"/>
    <w:rsid w:val="00BE4FD3"/>
    <w:rsid w:val="00BE5CF7"/>
    <w:rsid w:val="00BE7EFD"/>
    <w:rsid w:val="00BF0EF5"/>
    <w:rsid w:val="00BF308C"/>
    <w:rsid w:val="00BF46CA"/>
    <w:rsid w:val="00BF6036"/>
    <w:rsid w:val="00BF78AA"/>
    <w:rsid w:val="00BF7B4B"/>
    <w:rsid w:val="00C01DEC"/>
    <w:rsid w:val="00C02957"/>
    <w:rsid w:val="00C02D64"/>
    <w:rsid w:val="00C07A42"/>
    <w:rsid w:val="00C10D07"/>
    <w:rsid w:val="00C1149A"/>
    <w:rsid w:val="00C11D2E"/>
    <w:rsid w:val="00C136B1"/>
    <w:rsid w:val="00C1475F"/>
    <w:rsid w:val="00C15EA7"/>
    <w:rsid w:val="00C21903"/>
    <w:rsid w:val="00C21C73"/>
    <w:rsid w:val="00C22693"/>
    <w:rsid w:val="00C2642D"/>
    <w:rsid w:val="00C319FB"/>
    <w:rsid w:val="00C322FB"/>
    <w:rsid w:val="00C32332"/>
    <w:rsid w:val="00C32ADC"/>
    <w:rsid w:val="00C32E24"/>
    <w:rsid w:val="00C348E9"/>
    <w:rsid w:val="00C35469"/>
    <w:rsid w:val="00C36B3E"/>
    <w:rsid w:val="00C42434"/>
    <w:rsid w:val="00C4630D"/>
    <w:rsid w:val="00C46AF5"/>
    <w:rsid w:val="00C51BAA"/>
    <w:rsid w:val="00C51C8F"/>
    <w:rsid w:val="00C533AD"/>
    <w:rsid w:val="00C6376A"/>
    <w:rsid w:val="00C64E60"/>
    <w:rsid w:val="00C65E9C"/>
    <w:rsid w:val="00C66B7D"/>
    <w:rsid w:val="00C73687"/>
    <w:rsid w:val="00C7710F"/>
    <w:rsid w:val="00C8027D"/>
    <w:rsid w:val="00C80E5E"/>
    <w:rsid w:val="00C81430"/>
    <w:rsid w:val="00C81CE9"/>
    <w:rsid w:val="00C848B8"/>
    <w:rsid w:val="00C85903"/>
    <w:rsid w:val="00C85FB7"/>
    <w:rsid w:val="00C87062"/>
    <w:rsid w:val="00C932AF"/>
    <w:rsid w:val="00C946F3"/>
    <w:rsid w:val="00C94A58"/>
    <w:rsid w:val="00C95619"/>
    <w:rsid w:val="00C95C46"/>
    <w:rsid w:val="00C95CE7"/>
    <w:rsid w:val="00C960C7"/>
    <w:rsid w:val="00C9674C"/>
    <w:rsid w:val="00C96B0C"/>
    <w:rsid w:val="00C97170"/>
    <w:rsid w:val="00CA0B2E"/>
    <w:rsid w:val="00CA48AA"/>
    <w:rsid w:val="00CB0F9C"/>
    <w:rsid w:val="00CB1BD0"/>
    <w:rsid w:val="00CB1C4D"/>
    <w:rsid w:val="00CB3C75"/>
    <w:rsid w:val="00CC08E1"/>
    <w:rsid w:val="00CC6F41"/>
    <w:rsid w:val="00CD0CE7"/>
    <w:rsid w:val="00CD3F86"/>
    <w:rsid w:val="00CD40BD"/>
    <w:rsid w:val="00CD52A2"/>
    <w:rsid w:val="00CE295A"/>
    <w:rsid w:val="00CE5219"/>
    <w:rsid w:val="00CE684F"/>
    <w:rsid w:val="00CE7D07"/>
    <w:rsid w:val="00CF11C0"/>
    <w:rsid w:val="00CF32B8"/>
    <w:rsid w:val="00CF41CF"/>
    <w:rsid w:val="00CF6545"/>
    <w:rsid w:val="00D021F3"/>
    <w:rsid w:val="00D033C8"/>
    <w:rsid w:val="00D045E4"/>
    <w:rsid w:val="00D07730"/>
    <w:rsid w:val="00D13A83"/>
    <w:rsid w:val="00D16AD6"/>
    <w:rsid w:val="00D240D3"/>
    <w:rsid w:val="00D24DEA"/>
    <w:rsid w:val="00D24F37"/>
    <w:rsid w:val="00D31CD8"/>
    <w:rsid w:val="00D32BC0"/>
    <w:rsid w:val="00D34182"/>
    <w:rsid w:val="00D365DD"/>
    <w:rsid w:val="00D36AC7"/>
    <w:rsid w:val="00D37A67"/>
    <w:rsid w:val="00D40A22"/>
    <w:rsid w:val="00D44AE1"/>
    <w:rsid w:val="00D47207"/>
    <w:rsid w:val="00D51AC1"/>
    <w:rsid w:val="00D52A3D"/>
    <w:rsid w:val="00D541D4"/>
    <w:rsid w:val="00D54D85"/>
    <w:rsid w:val="00D61490"/>
    <w:rsid w:val="00D6193F"/>
    <w:rsid w:val="00D62E48"/>
    <w:rsid w:val="00D644DA"/>
    <w:rsid w:val="00D65962"/>
    <w:rsid w:val="00D66BBC"/>
    <w:rsid w:val="00D70155"/>
    <w:rsid w:val="00D729A6"/>
    <w:rsid w:val="00D72C10"/>
    <w:rsid w:val="00D73C12"/>
    <w:rsid w:val="00D74B87"/>
    <w:rsid w:val="00D75539"/>
    <w:rsid w:val="00D858AE"/>
    <w:rsid w:val="00D85B4A"/>
    <w:rsid w:val="00D862DE"/>
    <w:rsid w:val="00D915E2"/>
    <w:rsid w:val="00D922CB"/>
    <w:rsid w:val="00DA1929"/>
    <w:rsid w:val="00DA1C50"/>
    <w:rsid w:val="00DA21F1"/>
    <w:rsid w:val="00DA661A"/>
    <w:rsid w:val="00DB221D"/>
    <w:rsid w:val="00DB73ED"/>
    <w:rsid w:val="00DB7892"/>
    <w:rsid w:val="00DB7AC8"/>
    <w:rsid w:val="00DC0F1D"/>
    <w:rsid w:val="00DC41DA"/>
    <w:rsid w:val="00DC4521"/>
    <w:rsid w:val="00DC5014"/>
    <w:rsid w:val="00DC7FDB"/>
    <w:rsid w:val="00DD01A4"/>
    <w:rsid w:val="00DD2BC1"/>
    <w:rsid w:val="00DD5E27"/>
    <w:rsid w:val="00DD63A0"/>
    <w:rsid w:val="00DD73BA"/>
    <w:rsid w:val="00DE059F"/>
    <w:rsid w:val="00DE131F"/>
    <w:rsid w:val="00DE4DF4"/>
    <w:rsid w:val="00DE665E"/>
    <w:rsid w:val="00DE710C"/>
    <w:rsid w:val="00DF2266"/>
    <w:rsid w:val="00DF2A5B"/>
    <w:rsid w:val="00DF3536"/>
    <w:rsid w:val="00DF4BB1"/>
    <w:rsid w:val="00DF5AE5"/>
    <w:rsid w:val="00DF6D6F"/>
    <w:rsid w:val="00E017B7"/>
    <w:rsid w:val="00E06A93"/>
    <w:rsid w:val="00E11718"/>
    <w:rsid w:val="00E121CF"/>
    <w:rsid w:val="00E14986"/>
    <w:rsid w:val="00E15340"/>
    <w:rsid w:val="00E161A0"/>
    <w:rsid w:val="00E1648E"/>
    <w:rsid w:val="00E20B10"/>
    <w:rsid w:val="00E21006"/>
    <w:rsid w:val="00E22993"/>
    <w:rsid w:val="00E23B73"/>
    <w:rsid w:val="00E3325B"/>
    <w:rsid w:val="00E35C9B"/>
    <w:rsid w:val="00E35F7F"/>
    <w:rsid w:val="00E40775"/>
    <w:rsid w:val="00E40D46"/>
    <w:rsid w:val="00E6070E"/>
    <w:rsid w:val="00E6369C"/>
    <w:rsid w:val="00E6455A"/>
    <w:rsid w:val="00E65681"/>
    <w:rsid w:val="00E67E0A"/>
    <w:rsid w:val="00E743B2"/>
    <w:rsid w:val="00E75C5F"/>
    <w:rsid w:val="00E810AA"/>
    <w:rsid w:val="00E8124C"/>
    <w:rsid w:val="00E83395"/>
    <w:rsid w:val="00E8408A"/>
    <w:rsid w:val="00E849F4"/>
    <w:rsid w:val="00E859AD"/>
    <w:rsid w:val="00E91EF8"/>
    <w:rsid w:val="00EA4D6E"/>
    <w:rsid w:val="00EB1678"/>
    <w:rsid w:val="00EB472B"/>
    <w:rsid w:val="00EB50C0"/>
    <w:rsid w:val="00EB57DB"/>
    <w:rsid w:val="00EB76A7"/>
    <w:rsid w:val="00EC03C2"/>
    <w:rsid w:val="00EC4613"/>
    <w:rsid w:val="00EC7001"/>
    <w:rsid w:val="00ED6391"/>
    <w:rsid w:val="00ED69BF"/>
    <w:rsid w:val="00ED79B2"/>
    <w:rsid w:val="00EE14C0"/>
    <w:rsid w:val="00EE15DD"/>
    <w:rsid w:val="00EE2658"/>
    <w:rsid w:val="00EE3B69"/>
    <w:rsid w:val="00EE3B7A"/>
    <w:rsid w:val="00EE7F93"/>
    <w:rsid w:val="00EF117B"/>
    <w:rsid w:val="00EF23ED"/>
    <w:rsid w:val="00EF39FA"/>
    <w:rsid w:val="00EF4D9F"/>
    <w:rsid w:val="00EF5F91"/>
    <w:rsid w:val="00EF728E"/>
    <w:rsid w:val="00EF7EEC"/>
    <w:rsid w:val="00F02079"/>
    <w:rsid w:val="00F031A2"/>
    <w:rsid w:val="00F0509B"/>
    <w:rsid w:val="00F05D14"/>
    <w:rsid w:val="00F063FD"/>
    <w:rsid w:val="00F06481"/>
    <w:rsid w:val="00F06874"/>
    <w:rsid w:val="00F12DEE"/>
    <w:rsid w:val="00F13BF9"/>
    <w:rsid w:val="00F15570"/>
    <w:rsid w:val="00F16057"/>
    <w:rsid w:val="00F1744C"/>
    <w:rsid w:val="00F1749B"/>
    <w:rsid w:val="00F21A04"/>
    <w:rsid w:val="00F27271"/>
    <w:rsid w:val="00F31141"/>
    <w:rsid w:val="00F313C7"/>
    <w:rsid w:val="00F31EB8"/>
    <w:rsid w:val="00F43A15"/>
    <w:rsid w:val="00F44662"/>
    <w:rsid w:val="00F467B9"/>
    <w:rsid w:val="00F47308"/>
    <w:rsid w:val="00F522A7"/>
    <w:rsid w:val="00F55CC3"/>
    <w:rsid w:val="00F56808"/>
    <w:rsid w:val="00F57F35"/>
    <w:rsid w:val="00F6017E"/>
    <w:rsid w:val="00F6041D"/>
    <w:rsid w:val="00F61A51"/>
    <w:rsid w:val="00F62F3A"/>
    <w:rsid w:val="00F647A1"/>
    <w:rsid w:val="00F65BA6"/>
    <w:rsid w:val="00F65D10"/>
    <w:rsid w:val="00F675AE"/>
    <w:rsid w:val="00F67BDB"/>
    <w:rsid w:val="00F67C80"/>
    <w:rsid w:val="00F70138"/>
    <w:rsid w:val="00F7153E"/>
    <w:rsid w:val="00F72C6D"/>
    <w:rsid w:val="00F73024"/>
    <w:rsid w:val="00F737B5"/>
    <w:rsid w:val="00F74600"/>
    <w:rsid w:val="00F7674F"/>
    <w:rsid w:val="00F77035"/>
    <w:rsid w:val="00F770D8"/>
    <w:rsid w:val="00F81176"/>
    <w:rsid w:val="00F821AF"/>
    <w:rsid w:val="00F84809"/>
    <w:rsid w:val="00F848AB"/>
    <w:rsid w:val="00F866FE"/>
    <w:rsid w:val="00F8700D"/>
    <w:rsid w:val="00F94BDC"/>
    <w:rsid w:val="00F95244"/>
    <w:rsid w:val="00F95D8D"/>
    <w:rsid w:val="00FA0506"/>
    <w:rsid w:val="00FA080A"/>
    <w:rsid w:val="00FA263A"/>
    <w:rsid w:val="00FA4B18"/>
    <w:rsid w:val="00FA53FB"/>
    <w:rsid w:val="00FA5939"/>
    <w:rsid w:val="00FA66E9"/>
    <w:rsid w:val="00FA69D0"/>
    <w:rsid w:val="00FA6BE8"/>
    <w:rsid w:val="00FA7296"/>
    <w:rsid w:val="00FB2D9C"/>
    <w:rsid w:val="00FB5035"/>
    <w:rsid w:val="00FB5CCE"/>
    <w:rsid w:val="00FB5D78"/>
    <w:rsid w:val="00FB69C7"/>
    <w:rsid w:val="00FB6D36"/>
    <w:rsid w:val="00FB7C4A"/>
    <w:rsid w:val="00FC24CF"/>
    <w:rsid w:val="00FC42AA"/>
    <w:rsid w:val="00FC42DD"/>
    <w:rsid w:val="00FC50FC"/>
    <w:rsid w:val="00FC52EA"/>
    <w:rsid w:val="00FD0AD1"/>
    <w:rsid w:val="00FD0E3F"/>
    <w:rsid w:val="00FD2AFE"/>
    <w:rsid w:val="00FD574C"/>
    <w:rsid w:val="00FD5A0A"/>
    <w:rsid w:val="00FD7247"/>
    <w:rsid w:val="00FE08A8"/>
    <w:rsid w:val="00FE4F57"/>
    <w:rsid w:val="00FE71D2"/>
    <w:rsid w:val="00FF4659"/>
    <w:rsid w:val="00FF4D5A"/>
    <w:rsid w:val="00FF69B7"/>
    <w:rsid w:val="00FF7179"/>
    <w:rsid w:val="03A83916"/>
    <w:rsid w:val="05A633D5"/>
    <w:rsid w:val="05CC560F"/>
    <w:rsid w:val="065906F6"/>
    <w:rsid w:val="071C1AB9"/>
    <w:rsid w:val="0C406D9E"/>
    <w:rsid w:val="0C937FDB"/>
    <w:rsid w:val="0CC0267A"/>
    <w:rsid w:val="19886271"/>
    <w:rsid w:val="1B013BCC"/>
    <w:rsid w:val="1B80312D"/>
    <w:rsid w:val="2284712E"/>
    <w:rsid w:val="25674F44"/>
    <w:rsid w:val="290939CC"/>
    <w:rsid w:val="2E136AA5"/>
    <w:rsid w:val="2ED16CCD"/>
    <w:rsid w:val="314E5097"/>
    <w:rsid w:val="328A4269"/>
    <w:rsid w:val="3F7E2908"/>
    <w:rsid w:val="45E00214"/>
    <w:rsid w:val="49154775"/>
    <w:rsid w:val="49190519"/>
    <w:rsid w:val="510D2307"/>
    <w:rsid w:val="59D1642E"/>
    <w:rsid w:val="5CD765E0"/>
    <w:rsid w:val="614B2561"/>
    <w:rsid w:val="61B21C28"/>
    <w:rsid w:val="637571A1"/>
    <w:rsid w:val="77D21A1A"/>
    <w:rsid w:val="7A8F5AA2"/>
    <w:rsid w:val="7B943CCB"/>
    <w:rsid w:val="7C816C2E"/>
    <w:rsid w:val="7F590EFE"/>
    <w:rsid w:val="7F9132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39"/>
    <w:pPr>
      <w:spacing w:line="360" w:lineRule="atLeast"/>
      <w:ind w:left="210"/>
      <w:jc w:val="left"/>
    </w:pPr>
    <w:rPr>
      <w:smallCaps/>
    </w:rPr>
  </w:style>
  <w:style w:type="paragraph" w:styleId="3">
    <w:name w:val="annotation text"/>
    <w:basedOn w:val="1"/>
    <w:autoRedefine/>
    <w:semiHidden/>
    <w:unhideWhenUsed/>
    <w:qFormat/>
    <w:uiPriority w:val="99"/>
    <w:pPr>
      <w:jc w:val="left"/>
    </w:pPr>
  </w:style>
  <w:style w:type="paragraph" w:styleId="4">
    <w:name w:val="Body Text Indent"/>
    <w:basedOn w:val="1"/>
    <w:link w:val="17"/>
    <w:autoRedefine/>
    <w:qFormat/>
    <w:uiPriority w:val="99"/>
    <w:pPr>
      <w:widowControl w:val="0"/>
      <w:spacing w:after="120"/>
      <w:ind w:left="420" w:leftChars="200"/>
      <w:jc w:val="both"/>
    </w:pPr>
    <w:rPr>
      <w:kern w:val="2"/>
      <w:sz w:val="21"/>
    </w:rPr>
  </w:style>
  <w:style w:type="paragraph" w:styleId="5">
    <w:name w:val="footer"/>
    <w:basedOn w:val="1"/>
    <w:link w:val="18"/>
    <w:autoRedefine/>
    <w:qFormat/>
    <w:uiPriority w:val="99"/>
    <w:pPr>
      <w:tabs>
        <w:tab w:val="center" w:pos="4153"/>
        <w:tab w:val="right" w:pos="8306"/>
      </w:tabs>
      <w:snapToGrid w:val="0"/>
    </w:pPr>
    <w:rPr>
      <w:sz w:val="18"/>
      <w:szCs w:val="18"/>
    </w:rPr>
  </w:style>
  <w:style w:type="paragraph" w:styleId="6">
    <w:name w:val="header"/>
    <w:basedOn w:val="1"/>
    <w:link w:val="16"/>
    <w:autoRedefine/>
    <w:qFormat/>
    <w:uiPriority w:val="99"/>
    <w:pPr>
      <w:tabs>
        <w:tab w:val="center" w:pos="4320"/>
        <w:tab w:val="right" w:pos="8640"/>
      </w:tabs>
    </w:pPr>
  </w:style>
  <w:style w:type="paragraph" w:styleId="7">
    <w:name w:val="toc 1"/>
    <w:basedOn w:val="1"/>
    <w:next w:val="1"/>
    <w:autoRedefine/>
    <w:qFormat/>
    <w:uiPriority w:val="99"/>
    <w:pPr>
      <w:spacing w:before="120" w:after="120"/>
    </w:pPr>
    <w:rPr>
      <w:rFonts w:ascii="Calibri" w:hAnsi="Calibri"/>
      <w:b/>
      <w:bCs/>
      <w:caps/>
      <w:sz w:val="20"/>
      <w:szCs w:val="20"/>
      <w:lang w:val="de-CH" w:eastAsia="en-US"/>
    </w:rPr>
  </w:style>
  <w:style w:type="table" w:styleId="9">
    <w:name w:val="Table Grid"/>
    <w:basedOn w:val="8"/>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99"/>
    <w:rPr>
      <w:rFonts w:cs="Times New Roman"/>
    </w:rPr>
  </w:style>
  <w:style w:type="character" w:styleId="12">
    <w:name w:val="Hyperlink"/>
    <w:basedOn w:val="10"/>
    <w:autoRedefine/>
    <w:qFormat/>
    <w:uiPriority w:val="99"/>
    <w:rPr>
      <w:rFonts w:cs="Times New Roman"/>
      <w:color w:val="0000FF"/>
      <w:u w:val="single"/>
    </w:rPr>
  </w:style>
  <w:style w:type="character" w:customStyle="1" w:styleId="13">
    <w:name w:val="No Spacing Char"/>
    <w:link w:val="14"/>
    <w:autoRedefine/>
    <w:qFormat/>
    <w:locked/>
    <w:uiPriority w:val="99"/>
    <w:rPr>
      <w:rFonts w:ascii="Calibri" w:hAnsi="Calibri"/>
      <w:sz w:val="22"/>
      <w:lang w:val="en-US" w:eastAsia="en-US"/>
    </w:rPr>
  </w:style>
  <w:style w:type="paragraph" w:customStyle="1" w:styleId="14">
    <w:name w:val="No Spacing1"/>
    <w:link w:val="13"/>
    <w:autoRedefine/>
    <w:qFormat/>
    <w:uiPriority w:val="99"/>
    <w:rPr>
      <w:rFonts w:ascii="Calibri" w:hAnsi="Calibri" w:eastAsia="宋体" w:cs="Times New Roman"/>
      <w:kern w:val="0"/>
      <w:sz w:val="22"/>
      <w:szCs w:val="22"/>
      <w:lang w:val="en-US" w:eastAsia="en-US" w:bidi="ar-SA"/>
    </w:rPr>
  </w:style>
  <w:style w:type="paragraph" w:customStyle="1" w:styleId="15">
    <w:name w:val="页脚1"/>
    <w:basedOn w:val="1"/>
    <w:autoRedefine/>
    <w:qFormat/>
    <w:uiPriority w:val="99"/>
    <w:pPr>
      <w:tabs>
        <w:tab w:val="center" w:pos="4153"/>
        <w:tab w:val="right" w:pos="8306"/>
      </w:tabs>
      <w:snapToGrid w:val="0"/>
    </w:pPr>
    <w:rPr>
      <w:sz w:val="18"/>
      <w:szCs w:val="18"/>
    </w:rPr>
  </w:style>
  <w:style w:type="character" w:customStyle="1" w:styleId="16">
    <w:name w:val="Header Char"/>
    <w:basedOn w:val="10"/>
    <w:link w:val="6"/>
    <w:autoRedefine/>
    <w:semiHidden/>
    <w:qFormat/>
    <w:locked/>
    <w:uiPriority w:val="99"/>
    <w:rPr>
      <w:rFonts w:cs="Times New Roman"/>
      <w:kern w:val="0"/>
      <w:sz w:val="18"/>
      <w:szCs w:val="18"/>
    </w:rPr>
  </w:style>
  <w:style w:type="character" w:customStyle="1" w:styleId="17">
    <w:name w:val="Body Text Indent Char"/>
    <w:basedOn w:val="10"/>
    <w:link w:val="4"/>
    <w:autoRedefine/>
    <w:semiHidden/>
    <w:qFormat/>
    <w:locked/>
    <w:uiPriority w:val="99"/>
    <w:rPr>
      <w:rFonts w:cs="Times New Roman"/>
      <w:kern w:val="0"/>
      <w:sz w:val="24"/>
      <w:szCs w:val="24"/>
    </w:rPr>
  </w:style>
  <w:style w:type="character" w:customStyle="1" w:styleId="18">
    <w:name w:val="Footer Char"/>
    <w:basedOn w:val="10"/>
    <w:link w:val="5"/>
    <w:autoRedefine/>
    <w:semiHidden/>
    <w:qFormat/>
    <w:locked/>
    <w:uiPriority w:val="99"/>
    <w:rPr>
      <w:rFonts w:cs="Times New Roman"/>
      <w:kern w:val="0"/>
      <w:sz w:val="18"/>
      <w:szCs w:val="18"/>
    </w:rPr>
  </w:style>
  <w:style w:type="paragraph" w:customStyle="1" w:styleId="19">
    <w:name w:val="页眉1"/>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20">
    <w:name w:val="列出段落1"/>
    <w:basedOn w:val="1"/>
    <w:autoRedefine/>
    <w:qFormat/>
    <w:uiPriority w:val="99"/>
    <w:pPr>
      <w:ind w:firstLine="420" w:firstLineChars="200"/>
    </w:pPr>
  </w:style>
  <w:style w:type="paragraph" w:styleId="21">
    <w:name w:val="List Paragraph"/>
    <w:basedOn w:val="1"/>
    <w:autoRedefine/>
    <w:qFormat/>
    <w:uiPriority w:val="99"/>
    <w:pPr>
      <w:ind w:firstLine="420" w:firstLineChars="200"/>
    </w:pPr>
  </w:style>
  <w:style w:type="character" w:customStyle="1" w:styleId="22">
    <w:name w:val="正文缩进2格 Char"/>
    <w:basedOn w:val="10"/>
    <w:link w:val="23"/>
    <w:autoRedefine/>
    <w:qFormat/>
    <w:locked/>
    <w:uiPriority w:val="99"/>
    <w:rPr>
      <w:rFonts w:ascii="仿宋_GB2312" w:hAnsi="宋体" w:eastAsia="仿宋_GB2312" w:cs="Times New Roman"/>
      <w:kern w:val="2"/>
      <w:sz w:val="31"/>
    </w:rPr>
  </w:style>
  <w:style w:type="paragraph" w:customStyle="1" w:styleId="23">
    <w:name w:val="正文缩进2格"/>
    <w:basedOn w:val="1"/>
    <w:link w:val="22"/>
    <w:autoRedefine/>
    <w:qFormat/>
    <w:uiPriority w:val="99"/>
    <w:pPr>
      <w:widowControl w:val="0"/>
      <w:spacing w:line="600" w:lineRule="exact"/>
      <w:ind w:firstLine="639" w:firstLineChars="206"/>
      <w:jc w:val="both"/>
    </w:pPr>
    <w:rPr>
      <w:rFonts w:ascii="仿宋_GB2312" w:hAnsi="宋体" w:eastAsia="仿宋_GB2312"/>
      <w:kern w:val="2"/>
      <w:sz w:val="31"/>
      <w:szCs w:val="20"/>
    </w:rPr>
  </w:style>
  <w:style w:type="character" w:customStyle="1" w:styleId="24">
    <w:name w:val="font01"/>
    <w:basedOn w:val="10"/>
    <w:autoRedefine/>
    <w:qFormat/>
    <w:uiPriority w:val="0"/>
    <w:rPr>
      <w:rFonts w:hint="eastAsia" w:ascii="宋体" w:hAnsi="宋体" w:eastAsia="宋体" w:cs="宋体"/>
      <w:color w:val="000000"/>
      <w:sz w:val="24"/>
      <w:szCs w:val="24"/>
      <w:u w:val="none"/>
    </w:rPr>
  </w:style>
  <w:style w:type="character" w:customStyle="1" w:styleId="25">
    <w:name w:val="font1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16</Pages>
  <Words>1151</Words>
  <Characters>6561</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2016-12-28T07:19:00Z</dcterms:created>
  <dc:creator>hp</dc:creator>
  <cp:lastModifiedBy>谢彦</cp:lastModifiedBy>
  <cp:lastPrinted>2018-03-28T03:51:00Z</cp:lastPrinted>
  <dcterms:modified xsi:type="dcterms:W3CDTF">2024-04-18T07:02:17Z</dcterms:modified>
  <dc:title>招标编号：FLEX—DG--20150316</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ABC0C6E1583C4126B7A12F1145F0A14F_13</vt:lpwstr>
  </property>
</Properties>
</file>