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hint="default" w:ascii="宋体" w:hAnsi="宋体" w:eastAsia="宋体" w:cs="宋体"/>
          <w:b/>
          <w:bCs/>
          <w:sz w:val="31"/>
          <w:szCs w:val="31"/>
          <w:lang w:val="en-US" w:eastAsia="zh-CN"/>
        </w:rPr>
      </w:pPr>
      <w:r>
        <w:rPr>
          <w:rFonts w:hint="eastAsia" w:ascii="宋体" w:hAnsi="宋体" w:cs="宋体"/>
          <w:b/>
          <w:bCs/>
          <w:sz w:val="31"/>
          <w:szCs w:val="31"/>
        </w:rPr>
        <w:t>项目编号：DGUT-CY-202</w:t>
      </w:r>
      <w:r>
        <w:rPr>
          <w:rFonts w:hint="default" w:ascii="宋体" w:hAnsi="宋体" w:cs="宋体"/>
          <w:b/>
          <w:bCs/>
          <w:sz w:val="31"/>
          <w:szCs w:val="31"/>
          <w:lang w:val="en-US"/>
        </w:rPr>
        <w:t>101</w:t>
      </w:r>
      <w:bookmarkStart w:id="1" w:name="_GoBack"/>
      <w:bookmarkEnd w:id="1"/>
      <w:r>
        <w:rPr>
          <w:rFonts w:hint="default" w:ascii="宋体" w:hAnsi="宋体" w:cs="宋体"/>
          <w:b/>
          <w:bCs/>
          <w:sz w:val="31"/>
          <w:szCs w:val="31"/>
          <w:lang w:val="en-US"/>
        </w:rPr>
        <w:t>1101</w:t>
      </w:r>
    </w:p>
    <w:p>
      <w:pPr>
        <w:snapToGrid w:val="0"/>
        <w:spacing w:line="600" w:lineRule="exact"/>
        <w:jc w:val="center"/>
        <w:rPr>
          <w:rFonts w:hint="eastAsia" w:ascii="宋体" w:hAnsi="宋体" w:eastAsia="宋体" w:cs="宋体"/>
          <w:b/>
          <w:bCs/>
          <w:sz w:val="31"/>
          <w:szCs w:val="31"/>
          <w:lang w:eastAsia="zh-CN"/>
        </w:rPr>
      </w:pPr>
      <w:r>
        <w:rPr>
          <w:rFonts w:hint="eastAsia" w:ascii="宋体" w:hAnsi="宋体" w:cs="宋体"/>
          <w:b/>
          <w:bCs/>
          <w:sz w:val="31"/>
          <w:szCs w:val="31"/>
        </w:rPr>
        <w:t xml:space="preserve"> 项目名称：</w:t>
      </w:r>
      <w:r>
        <w:rPr>
          <w:rFonts w:hint="eastAsia" w:ascii="宋体" w:hAnsi="宋体" w:cs="宋体"/>
          <w:b/>
          <w:bCs/>
          <w:sz w:val="31"/>
          <w:szCs w:val="31"/>
          <w:lang w:eastAsia="zh-CN"/>
        </w:rPr>
        <w:t>移动互联网实验室</w:t>
      </w:r>
      <w:r>
        <w:rPr>
          <w:rFonts w:hint="eastAsia" w:ascii="宋体" w:hAnsi="宋体" w:cs="宋体"/>
          <w:b/>
          <w:bCs/>
          <w:sz w:val="31"/>
          <w:szCs w:val="31"/>
        </w:rPr>
        <w:t>设备</w:t>
      </w:r>
      <w:r>
        <w:rPr>
          <w:rFonts w:hint="eastAsia" w:ascii="宋体" w:hAnsi="宋体" w:cs="宋体"/>
          <w:b/>
          <w:bCs/>
          <w:sz w:val="31"/>
          <w:szCs w:val="31"/>
          <w:lang w:eastAsia="zh-CN"/>
        </w:rPr>
        <w:t>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w:t>
      </w:r>
      <w:r>
        <w:rPr>
          <w:rFonts w:hint="eastAsia" w:ascii="宋体" w:hAnsi="宋体" w:cs="宋体"/>
          <w:b/>
          <w:bCs/>
          <w:sz w:val="31"/>
          <w:szCs w:val="31"/>
          <w:lang w:eastAsia="zh-CN"/>
        </w:rPr>
        <w:t>一</w:t>
      </w:r>
      <w:r>
        <w:rPr>
          <w:rFonts w:hint="eastAsia" w:ascii="宋体" w:hAnsi="宋体" w:cs="宋体"/>
          <w:b/>
          <w:bCs/>
          <w:sz w:val="31"/>
          <w:szCs w:val="31"/>
        </w:rPr>
        <w:t>年</w:t>
      </w:r>
      <w:r>
        <w:rPr>
          <w:rFonts w:hint="eastAsia" w:ascii="宋体" w:hAnsi="宋体" w:cs="宋体"/>
          <w:b/>
          <w:bCs/>
          <w:sz w:val="31"/>
          <w:szCs w:val="31"/>
          <w:lang w:eastAsia="zh-CN"/>
        </w:rPr>
        <w:t>一</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计信学院移动互联网实验室</w:t>
      </w:r>
      <w:r>
        <w:rPr>
          <w:rFonts w:hint="eastAsia" w:ascii="宋体" w:hAnsi="宋体" w:cs="宋体"/>
          <w:b/>
          <w:bCs/>
          <w:sz w:val="24"/>
          <w:szCs w:val="24"/>
          <w:u w:val="single"/>
        </w:rPr>
        <w:t>设备</w:t>
      </w:r>
      <w:r>
        <w:rPr>
          <w:rFonts w:hint="eastAsia" w:ascii="宋体" w:hAnsi="宋体" w:cs="宋体"/>
        </w:rPr>
        <w:t>采购项目（采购编号</w:t>
      </w:r>
      <w:r>
        <w:rPr>
          <w:rFonts w:hint="eastAsia" w:ascii="宋体" w:hAnsi="宋体" w:cs="宋体"/>
          <w:color w:val="FF0000"/>
        </w:rPr>
        <w:t>DGUT-CY-202</w:t>
      </w:r>
      <w:r>
        <w:rPr>
          <w:rFonts w:hint="eastAsia" w:ascii="宋体" w:hAnsi="宋体" w:cs="宋体"/>
          <w:color w:val="FF0000"/>
          <w:lang w:val="en-US" w:eastAsia="zh-CN"/>
        </w:rPr>
        <w:t>10111101</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w:t>
      </w:r>
      <w:r>
        <w:rPr>
          <w:rFonts w:hint="eastAsia" w:ascii="宋体" w:hAnsi="宋体" w:cs="宋体"/>
          <w:color w:val="FF0000"/>
          <w:lang w:val="en-US" w:eastAsia="zh-CN"/>
        </w:rPr>
        <w:t>1</w:t>
      </w:r>
      <w:r>
        <w:rPr>
          <w:rFonts w:hint="eastAsia" w:ascii="宋体" w:hAnsi="宋体" w:cs="宋体"/>
          <w:color w:val="FF0000"/>
        </w:rPr>
        <w:t>年</w:t>
      </w:r>
      <w:r>
        <w:rPr>
          <w:rFonts w:hint="eastAsia" w:ascii="宋体" w:hAnsi="宋体" w:cs="宋体"/>
          <w:color w:val="FF0000"/>
          <w:lang w:val="en-US" w:eastAsia="zh-CN"/>
        </w:rPr>
        <w:t>1</w:t>
      </w:r>
      <w:r>
        <w:rPr>
          <w:rFonts w:hint="eastAsia" w:ascii="宋体" w:hAnsi="宋体" w:cs="宋体"/>
          <w:color w:val="FF0000"/>
        </w:rPr>
        <w:t>月</w:t>
      </w:r>
      <w:r>
        <w:rPr>
          <w:rFonts w:hint="eastAsia" w:ascii="宋体" w:hAnsi="宋体" w:cs="宋体"/>
          <w:color w:val="FF0000"/>
          <w:lang w:val="en-US" w:eastAsia="zh-CN"/>
        </w:rPr>
        <w:t>11</w:t>
      </w:r>
      <w:r>
        <w:rPr>
          <w:rFonts w:hint="eastAsia" w:ascii="宋体" w:hAnsi="宋体" w:cs="宋体"/>
          <w:color w:val="FF0000"/>
        </w:rPr>
        <w:t>日至</w:t>
      </w:r>
      <w:r>
        <w:rPr>
          <w:rFonts w:hint="eastAsia" w:ascii="宋体" w:hAnsi="宋体" w:cs="宋体"/>
          <w:color w:val="FF0000"/>
          <w:lang w:val="en-US" w:eastAsia="zh-CN"/>
        </w:rPr>
        <w:t>1</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w:t>
      </w:r>
      <w:r>
        <w:rPr>
          <w:rFonts w:hint="eastAsia" w:ascii="宋体" w:hAnsi="宋体" w:cs="宋体"/>
          <w:color w:val="FF0000"/>
        </w:rPr>
        <w:t>202</w:t>
      </w:r>
      <w:r>
        <w:rPr>
          <w:rFonts w:hint="eastAsia" w:ascii="宋体" w:hAnsi="宋体" w:cs="宋体"/>
          <w:color w:val="FF0000"/>
          <w:lang w:val="en-US" w:eastAsia="zh-CN"/>
        </w:rPr>
        <w:t>11</w:t>
      </w:r>
      <w:r>
        <w:rPr>
          <w:rFonts w:hint="eastAsia" w:ascii="宋体" w:hAnsi="宋体" w:cs="宋体"/>
          <w:color w:val="FF0000"/>
        </w:rPr>
        <w:t>年1月</w:t>
      </w:r>
      <w:r>
        <w:rPr>
          <w:rFonts w:hint="eastAsia" w:ascii="宋体" w:hAnsi="宋体" w:cs="宋体"/>
          <w:color w:val="FF0000"/>
          <w:lang w:val="en-US" w:eastAsia="zh-CN"/>
        </w:rPr>
        <w:t>15</w:t>
      </w:r>
      <w:r>
        <w:rPr>
          <w:rFonts w:hint="eastAsia" w:ascii="宋体" w:hAnsi="宋体" w:cs="宋体"/>
          <w:color w:val="FF0000"/>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30</w:t>
      </w:r>
      <w:r>
        <w:rPr>
          <w:rFonts w:hint="eastAsia" w:ascii="宋体" w:hAnsi="宋体" w:cs="宋体"/>
          <w:color w:val="FF0000"/>
        </w:rPr>
        <w:t>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color w:val="FF0000"/>
        </w:rPr>
      </w:pPr>
      <w:r>
        <w:rPr>
          <w:rFonts w:hint="eastAsia" w:ascii="宋体" w:hAnsi="宋体" w:cs="宋体"/>
          <w:b/>
          <w:bCs/>
          <w:color w:val="FF0000"/>
          <w:sz w:val="28"/>
          <w:szCs w:val="28"/>
          <w:lang w:eastAsia="zh-CN"/>
        </w:rPr>
        <w:t>投标报价不得超过预算价；</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开出的所有票据（增值税专用发票）应与成交供应商的名称一致。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叁</w:t>
      </w:r>
      <w:r>
        <w:rPr>
          <w:rFonts w:hint="eastAsia" w:ascii="宋体" w:hAnsi="宋体" w:cs="宋体"/>
          <w:b/>
          <w:bCs/>
        </w:rPr>
        <w:t>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tabs>
          <w:tab w:val="left" w:pos="7920"/>
        </w:tabs>
        <w:spacing w:line="360" w:lineRule="auto"/>
        <w:ind w:firstLine="431" w:firstLineChars="196"/>
        <w:rPr>
          <w:rFonts w:ascii="宋体" w:hAnsi="宋体" w:cs="宋体"/>
          <w:sz w:val="22"/>
          <w:szCs w:val="22"/>
        </w:rPr>
      </w:pPr>
      <w:r>
        <w:rPr>
          <w:rFonts w:hint="eastAsia" w:ascii="宋体" w:hAnsi="宋体" w:cs="宋体"/>
          <w:sz w:val="22"/>
          <w:szCs w:val="22"/>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p>
    <w:p>
      <w:pPr>
        <w:pStyle w:val="28"/>
        <w:tabs>
          <w:tab w:val="left" w:pos="1800"/>
        </w:tabs>
        <w:ind w:firstLine="0" w:firstLineChars="0"/>
        <w:rPr>
          <w:rFonts w:hint="eastAsia" w:ascii="宋体" w:hAnsi="宋体" w:cs="宋体"/>
          <w:b/>
          <w:bCs/>
          <w:sz w:val="36"/>
          <w:szCs w:val="36"/>
        </w:rPr>
      </w:pPr>
      <w:r>
        <w:rPr>
          <w:rFonts w:hint="eastAsia" w:ascii="宋体" w:hAnsi="宋体" w:cs="宋体"/>
          <w:b/>
          <w:bCs/>
          <w:sz w:val="36"/>
          <w:szCs w:val="36"/>
        </w:rPr>
        <w:t>附件一、　　　　　　用户需求书</w:t>
      </w:r>
    </w:p>
    <w:p>
      <w:pPr>
        <w:pStyle w:val="28"/>
        <w:tabs>
          <w:tab w:val="left" w:pos="1800"/>
        </w:tabs>
        <w:ind w:firstLine="0" w:firstLineChars="0"/>
        <w:rPr>
          <w:rFonts w:hint="eastAsia" w:ascii="宋体" w:hAnsi="宋体" w:eastAsia="宋体" w:cs="宋体"/>
          <w:b/>
          <w:bCs/>
          <w:sz w:val="36"/>
          <w:szCs w:val="36"/>
          <w:lang w:val="en-US" w:eastAsia="zh-CN"/>
        </w:rPr>
      </w:pPr>
      <w:r>
        <w:rPr>
          <w:rFonts w:hint="eastAsia" w:ascii="宋体" w:hAnsi="宋体" w:cs="宋体"/>
          <w:b/>
          <w:bCs/>
          <w:sz w:val="36"/>
          <w:szCs w:val="36"/>
          <w:lang w:eastAsia="zh-CN"/>
        </w:rPr>
        <w:t>本项目预算为</w:t>
      </w:r>
      <w:r>
        <w:rPr>
          <w:rFonts w:hint="eastAsia" w:ascii="宋体" w:hAnsi="宋体" w:cs="宋体"/>
          <w:b/>
          <w:bCs/>
          <w:sz w:val="36"/>
          <w:szCs w:val="36"/>
          <w:lang w:val="en-US" w:eastAsia="zh-CN"/>
        </w:rPr>
        <w:t>778</w:t>
      </w:r>
      <w:r>
        <w:rPr>
          <w:rFonts w:hint="default" w:ascii="宋体" w:hAnsi="宋体" w:cs="宋体"/>
          <w:b/>
          <w:bCs/>
          <w:sz w:val="36"/>
          <w:szCs w:val="36"/>
          <w:lang w:val="en-US" w:eastAsia="zh-CN"/>
        </w:rPr>
        <w:t>,</w:t>
      </w:r>
      <w:r>
        <w:rPr>
          <w:rFonts w:hint="eastAsia" w:ascii="宋体" w:hAnsi="宋体" w:cs="宋体"/>
          <w:b/>
          <w:bCs/>
          <w:sz w:val="36"/>
          <w:szCs w:val="36"/>
          <w:lang w:val="en-US" w:eastAsia="zh-CN"/>
        </w:rPr>
        <w:t>340元。</w:t>
      </w:r>
    </w:p>
    <w:tbl>
      <w:tblPr>
        <w:tblStyle w:val="22"/>
        <w:tblpPr w:leftFromText="180" w:rightFromText="180" w:vertAnchor="text" w:horzAnchor="page" w:tblpX="1020" w:tblpY="81"/>
        <w:tblOverlap w:val="never"/>
        <w:tblW w:w="5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574"/>
        <w:gridCol w:w="756"/>
        <w:gridCol w:w="4930"/>
        <w:gridCol w:w="565"/>
        <w:gridCol w:w="687"/>
        <w:gridCol w:w="731"/>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88"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设备名称</w:t>
            </w:r>
          </w:p>
        </w:tc>
        <w:tc>
          <w:tcPr>
            <w:tcW w:w="378" w:type="pct"/>
            <w:noWrap w:val="0"/>
            <w:vAlign w:val="top"/>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参考品牌</w:t>
            </w:r>
          </w:p>
        </w:tc>
        <w:tc>
          <w:tcPr>
            <w:tcW w:w="2467"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招标技术参数</w:t>
            </w:r>
          </w:p>
        </w:tc>
        <w:tc>
          <w:tcPr>
            <w:tcW w:w="283"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344" w:type="pct"/>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366" w:type="pct"/>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单价</w:t>
            </w:r>
          </w:p>
        </w:tc>
        <w:tc>
          <w:tcPr>
            <w:tcW w:w="657" w:type="pct"/>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ascii="宋体" w:hAnsi="宋体" w:cs="宋体"/>
                <w:b/>
                <w:bCs/>
                <w:color w:val="000000"/>
                <w:kern w:val="0"/>
                <w:szCs w:val="21"/>
              </w:rPr>
            </w:pPr>
            <w:r>
              <w:rPr>
                <w:rFonts w:hint="eastAsia" w:ascii="宋体" w:hAnsi="宋体" w:cs="宋体"/>
                <w:color w:val="000000"/>
                <w:kern w:val="0"/>
                <w:szCs w:val="21"/>
                <w:lang w:bidi="ar"/>
              </w:rPr>
              <w:t>1</w:t>
            </w:r>
          </w:p>
        </w:tc>
        <w:tc>
          <w:tcPr>
            <w:tcW w:w="288" w:type="pct"/>
            <w:noWrap w:val="0"/>
            <w:vAlign w:val="center"/>
          </w:tcPr>
          <w:p>
            <w:pPr>
              <w:widowControl/>
              <w:jc w:val="left"/>
              <w:rPr>
                <w:rFonts w:hint="eastAsia" w:ascii="宋体" w:hAnsi="宋体" w:cs="宋体"/>
                <w:b/>
                <w:bCs/>
                <w:color w:val="000000"/>
                <w:kern w:val="0"/>
                <w:szCs w:val="21"/>
              </w:rPr>
            </w:pPr>
            <w:r>
              <w:rPr>
                <w:rFonts w:hint="eastAsia" w:ascii="宋体" w:hAnsi="宋体" w:cs="宋体"/>
                <w:b w:val="0"/>
                <w:bCs w:val="0"/>
                <w:color w:val="000000"/>
                <w:kern w:val="0"/>
                <w:szCs w:val="21"/>
              </w:rPr>
              <w:t>台式机</w:t>
            </w:r>
          </w:p>
        </w:tc>
        <w:tc>
          <w:tcPr>
            <w:tcW w:w="378" w:type="pct"/>
            <w:noWrap w:val="0"/>
            <w:vAlign w:val="center"/>
          </w:tcPr>
          <w:p>
            <w:pPr>
              <w:keepLines/>
              <w:spacing w:before="40" w:after="40"/>
              <w:jc w:val="center"/>
              <w:rPr>
                <w:rFonts w:hint="default" w:ascii="宋体" w:hAnsi="宋体" w:eastAsia="宋体"/>
                <w:sz w:val="18"/>
                <w:szCs w:val="18"/>
                <w:lang w:val="en-US" w:eastAsia="zh-CN"/>
              </w:rPr>
            </w:pPr>
            <w:r>
              <w:rPr>
                <w:rFonts w:hint="eastAsia" w:ascii="宋体" w:hAnsi="宋体"/>
                <w:sz w:val="18"/>
                <w:szCs w:val="18"/>
                <w:lang w:val="en-US" w:eastAsia="zh-CN"/>
              </w:rPr>
              <w:t xml:space="preserve">联想、惠普、DELL、华硕  </w:t>
            </w:r>
          </w:p>
        </w:tc>
        <w:tc>
          <w:tcPr>
            <w:tcW w:w="2467" w:type="pct"/>
            <w:noWrap w:val="0"/>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十代i5商用办公台式电脑主机</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CPU：≥</w:t>
            </w:r>
            <w:r>
              <w:rPr>
                <w:rFonts w:hint="eastAsia" w:ascii="宋体" w:hAnsi="宋体" w:cs="宋体"/>
                <w:color w:val="000000"/>
                <w:kern w:val="0"/>
                <w:sz w:val="20"/>
                <w:szCs w:val="20"/>
              </w:rPr>
              <w:t>Intel酷睿六核处理器</w:t>
            </w:r>
            <w:r>
              <w:rPr>
                <w:rFonts w:hint="eastAsia" w:ascii="宋体" w:hAnsi="宋体" w:cs="宋体"/>
                <w:color w:val="000000"/>
                <w:kern w:val="0"/>
                <w:sz w:val="20"/>
                <w:szCs w:val="20"/>
                <w:lang w:val="en-US" w:eastAsia="zh-CN"/>
              </w:rPr>
              <w:t>i5-10500 6核  3.1GHZ</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内存：≥32GB DDR4(16G x 2)、频率≥2666</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（品牌：原厂品牌、三星、金士顿）</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显卡：≥AMD Radeon R7 430 2G独显</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硬盘：≥512GB SSD （品牌：原厂品牌、三星、西部数据、</w:t>
            </w:r>
            <w:r>
              <w:rPr>
                <w:rFonts w:hint="eastAsia" w:ascii="宋体" w:hAnsi="宋体" w:cs="宋体"/>
                <w:color w:val="000000"/>
                <w:kern w:val="0"/>
                <w:sz w:val="20"/>
                <w:szCs w:val="20"/>
                <w:lang w:val="en-US" w:eastAsia="zh-CN"/>
              </w:rPr>
              <w:fldChar w:fldCharType="begin"/>
            </w:r>
            <w:r>
              <w:rPr>
                <w:rFonts w:hint="eastAsia" w:ascii="宋体" w:hAnsi="宋体" w:cs="宋体"/>
                <w:color w:val="000000"/>
                <w:kern w:val="0"/>
                <w:sz w:val="20"/>
                <w:szCs w:val="20"/>
                <w:lang w:val="en-US" w:eastAsia="zh-CN"/>
              </w:rPr>
              <w:instrText xml:space="preserve"> HYPERLINK "https://item.jd.com/100007080973.html" \o "【年终好物，价格钜惠，399元】原东芝存储器，点燃NVME新潮流,五年质保,物理缓存,读速1700M/S,写速可达1600M/S更多惊喜请戳》》》" \t "https://search.jd.com/_blank" </w:instrText>
            </w:r>
            <w:r>
              <w:rPr>
                <w:rFonts w:hint="eastAsia" w:ascii="宋体" w:hAnsi="宋体" w:cs="宋体"/>
                <w:color w:val="000000"/>
                <w:kern w:val="0"/>
                <w:sz w:val="20"/>
                <w:szCs w:val="20"/>
                <w:lang w:val="en-US" w:eastAsia="zh-CN"/>
              </w:rPr>
              <w:fldChar w:fldCharType="separate"/>
            </w:r>
            <w:r>
              <w:rPr>
                <w:rFonts w:hint="eastAsia" w:ascii="宋体" w:hAnsi="宋体" w:cs="宋体"/>
                <w:color w:val="000000"/>
                <w:kern w:val="0"/>
                <w:sz w:val="20"/>
                <w:szCs w:val="20"/>
                <w:lang w:val="en-US" w:eastAsia="zh-CN"/>
              </w:rPr>
              <w:t>铠侠</w:t>
            </w:r>
            <w:r>
              <w:rPr>
                <w:rFonts w:hint="eastAsia" w:ascii="宋体" w:hAnsi="宋体" w:cs="宋体"/>
                <w:color w:val="000000"/>
                <w:kern w:val="0"/>
                <w:sz w:val="20"/>
                <w:szCs w:val="20"/>
                <w:lang w:val="en-US" w:eastAsia="zh-CN"/>
              </w:rPr>
              <w:fldChar w:fldCharType="end"/>
            </w:r>
            <w:r>
              <w:rPr>
                <w:rFonts w:hint="eastAsia" w:ascii="宋体" w:hAnsi="宋体" w:cs="宋体"/>
                <w:color w:val="000000"/>
                <w:kern w:val="0"/>
                <w:sz w:val="20"/>
                <w:szCs w:val="20"/>
                <w:lang w:val="en-US" w:eastAsia="zh-CN"/>
              </w:rPr>
              <w:t>）</w:t>
            </w:r>
          </w:p>
          <w:p>
            <w:pPr>
              <w:widowControl/>
              <w:jc w:val="left"/>
              <w:rPr>
                <w:rFonts w:hint="eastAsia" w:ascii="宋体" w:hAnsi="宋体" w:cs="宋体"/>
                <w:color w:val="000000"/>
                <w:kern w:val="0"/>
                <w:sz w:val="20"/>
                <w:szCs w:val="20"/>
                <w:highlight w:val="yellow"/>
                <w:lang w:val="en-US" w:eastAsia="zh-CN"/>
              </w:rPr>
            </w:pPr>
            <w:r>
              <w:rPr>
                <w:rFonts w:hint="eastAsia" w:ascii="宋体" w:hAnsi="宋体" w:cs="宋体"/>
                <w:color w:val="000000"/>
                <w:kern w:val="0"/>
                <w:sz w:val="20"/>
                <w:szCs w:val="20"/>
                <w:highlight w:val="yellow"/>
                <w:lang w:val="en-US" w:eastAsia="zh-CN"/>
              </w:rPr>
              <w:t>显示器：≥23.8英寸，分辨率不低于1920x1080（</w:t>
            </w:r>
            <w:r>
              <w:rPr>
                <w:rFonts w:hint="eastAsia" w:ascii="宋体" w:hAnsi="宋体" w:cs="宋体"/>
                <w:b/>
                <w:bCs/>
                <w:color w:val="000000"/>
                <w:kern w:val="0"/>
                <w:sz w:val="20"/>
                <w:szCs w:val="20"/>
                <w:highlight w:val="yellow"/>
                <w:lang w:val="en-US" w:eastAsia="zh-CN"/>
              </w:rPr>
              <w:t>总共52台）</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带USB键盘鼠标</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带802.11AC无线网卡</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前置USB接口不少于6个</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带噢易机房OSS系统正版授权可升级（支持Win7、Win10、Linux等多种操作系统、可安装多个操作系统、系统网络部署、</w:t>
            </w:r>
          </w:p>
          <w:p>
            <w:pPr>
              <w:widowControl/>
              <w:jc w:val="left"/>
              <w:rPr>
                <w:rFonts w:hint="eastAsia" w:ascii="宋体" w:hAnsi="宋体"/>
                <w:sz w:val="18"/>
                <w:szCs w:val="18"/>
              </w:rPr>
            </w:pPr>
            <w:r>
              <w:rPr>
                <w:rFonts w:hint="eastAsia" w:ascii="宋体" w:hAnsi="宋体" w:cs="宋体"/>
                <w:color w:val="000000"/>
                <w:kern w:val="0"/>
                <w:sz w:val="20"/>
                <w:szCs w:val="20"/>
                <w:lang w:val="en-US" w:eastAsia="zh-CN"/>
              </w:rPr>
              <w:t>增量拷贝、支持系统自动还原、支持指定文件和文件夹不还原、包含网络安全模块、可进行行为管控，可进行屏幕录制、全屏广播、窗口广播、语音广播、远程桌面、远程遥控、远程命令、远程设置、学生限制等）</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344" w:type="pct"/>
            <w:noWrap w:val="0"/>
            <w:vAlign w:val="top"/>
          </w:tcPr>
          <w:p>
            <w:r>
              <w:t>1</w:t>
            </w:r>
            <w:r>
              <w:rPr>
                <w:rFonts w:hint="eastAsia"/>
                <w:lang w:val="en-US" w:eastAsia="zh-CN"/>
              </w:rPr>
              <w:t>0</w:t>
            </w:r>
            <w:r>
              <w:t>2</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2</w:t>
            </w:r>
          </w:p>
        </w:tc>
        <w:tc>
          <w:tcPr>
            <w:tcW w:w="28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auto"/>
                <w:kern w:val="0"/>
                <w:sz w:val="20"/>
                <w:szCs w:val="20"/>
              </w:rPr>
              <w:t>交换机</w:t>
            </w:r>
          </w:p>
        </w:tc>
        <w:tc>
          <w:tcPr>
            <w:tcW w:w="378" w:type="pct"/>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华为、H3C、中兴、锐捷</w:t>
            </w:r>
          </w:p>
        </w:tc>
        <w:tc>
          <w:tcPr>
            <w:tcW w:w="2467" w:type="pct"/>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 交换容量≥256Gbps、包转发率≥108Mpps；</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 MAC地址≥16K  支持RPS冗余电源；</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3、10/100M/1000M以太网电接口≥48，GE SFP接口≥2，GE Combo（不与以上两种接口冲突）接口≥2；</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4、支持静态路由For IPv6，提供官网截图证明；</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5、VLAN支持数量≥4K，支持灵活QinQ功能，支持VoiceVLAN，支持STP、RSTP、MSTP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6、支持以太环网保护技术；支持环网、开环拓扑及双上行的拓扑保护；支持多实例的负荷分担，可实现以太网环路50ms级的保护；</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7、支持增强VCT，单个命令显示所有端口VCT状态。支持LACP、支持DHCP Snooping、支持DHCP Option82、支持 IPv6 ACL、支持 IPv6 Ping, IPv6 Telnet；</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8、支持可控组播、CAC频道访问控制、支持用户组播访问控制、用户组播访问记录、支持基于时间段的ACL配置、支持出、入方向的双向ACL、支持CPU防攻击、CPU过载保护、支持802.1x、支持可调速风扇，根据环境温度调整风扇转速、支持国际标准协议802.3az能效以太网EEE；</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9、支持SNMP v1/v2/v3 和RMON；</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10、支持WEB管理；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11、支持集群管理、支持零部署；</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12、支持通过端口的指示灯即可直观的获得设备端口、内存、CPU状态等信息；13、支持FTP、TFTP；</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14、同时支持USB console和RJ45 console接口，提供官网公开链接证明及相关硬件接口图片；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15、信息产业部的电信设备进网许可证，提供入网检测报告复印件；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16、产品具有RoHS认证、FCC VOC认证  CE DOC认证，提供证书复印件。；</w:t>
            </w:r>
          </w:p>
          <w:p>
            <w:pPr>
              <w:widowControl/>
              <w:ind w:left="200" w:hanging="200" w:hangingChars="100"/>
              <w:rPr>
                <w:rFonts w:hint="eastAsia" w:ascii="Arial" w:hAnsi="宋体" w:cs="Arial"/>
                <w:kern w:val="0"/>
                <w:sz w:val="20"/>
                <w:szCs w:val="20"/>
              </w:rPr>
            </w:pPr>
            <w:r>
              <w:rPr>
                <w:rFonts w:hint="eastAsia" w:ascii="宋体" w:hAnsi="宋体" w:cs="宋体"/>
                <w:color w:val="000000"/>
                <w:kern w:val="0"/>
                <w:sz w:val="20"/>
                <w:szCs w:val="20"/>
              </w:rPr>
              <w:t>17、▲保修服务及技术要求：投标时须提供原厂技术参数证明响应表原件（或彩页）；为保证产品质量及售后服务，投标人须在投标文件中提供厂家有效的保修服务承诺函原件或在投标文件中承诺中标结果公告之日起三个工作日内向采购人提供厂家有效的保修服务承诺函原件。</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344" w:type="pct"/>
            <w:noWrap w:val="0"/>
            <w:vAlign w:val="top"/>
          </w:tcPr>
          <w:p>
            <w:r>
              <w:t>4</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3</w:t>
            </w:r>
          </w:p>
        </w:tc>
        <w:tc>
          <w:tcPr>
            <w:tcW w:w="28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接入交换机</w:t>
            </w:r>
          </w:p>
        </w:tc>
        <w:tc>
          <w:tcPr>
            <w:tcW w:w="378" w:type="pct"/>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华为、H3C、中兴、锐捷</w:t>
            </w:r>
          </w:p>
        </w:tc>
        <w:tc>
          <w:tcPr>
            <w:tcW w:w="2467" w:type="pct"/>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1.交换容量≥256Gbps.包转发率≥72Mpps；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2.MAC地址≥16K；</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3.10/100M/1000M以太网电接口≥24，GE SFP接口≥2，GE Combo（不与以上两种接口冲突）接口≥2；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4.支持三层路由功能，支持静态路由For IPv6，提供官网截图证明；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5.VLAN支持数量≥4K，支持灵活QinQ；</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6.支持≤50ms快速回复机制的环网技术；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7.支持IEEE 802.3ad端口捆绑标准；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8.支持Telnet v6.Icmp v6.ND.MLD snooping.IPv6 acl.DHCP v6 snooping；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9.支持入口/出口双向ACL安全特性，提供出口ACL配置命令证明；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10.ACL数量≥1K；</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11.支持增强VCT，单个命令显示所有端口VCT状态；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12.支持通过面板指示灯多状态显示CPU利用率.内存利用率等信息；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13.支持SNMP v1/v2/v3 和RMON；</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14.支持Console/Telnet管理；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15.支持SSH2.0管理；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16.同时支持USB console和管理网口；</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344" w:type="pct"/>
            <w:noWrap w:val="0"/>
            <w:vAlign w:val="top"/>
          </w:tcPr>
          <w:p>
            <w:r>
              <w:t>2</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4</w:t>
            </w:r>
          </w:p>
        </w:tc>
        <w:tc>
          <w:tcPr>
            <w:tcW w:w="288" w:type="pct"/>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机柜</w:t>
            </w:r>
          </w:p>
        </w:tc>
        <w:tc>
          <w:tcPr>
            <w:tcW w:w="378" w:type="pct"/>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金盾、图腾</w:t>
            </w:r>
          </w:p>
        </w:tc>
        <w:tc>
          <w:tcPr>
            <w:tcW w:w="2467" w:type="pct"/>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42U服务器机柜，尺寸600*1000*2200mm，适用于刀片式服务器、专业服务器。</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344" w:type="pct"/>
            <w:noWrap w:val="0"/>
            <w:vAlign w:val="top"/>
          </w:tcPr>
          <w:p>
            <w:r>
              <w:t>1</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5</w:t>
            </w:r>
          </w:p>
        </w:tc>
        <w:tc>
          <w:tcPr>
            <w:tcW w:w="288" w:type="pct"/>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中控台</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鑫洋华、富可士</w:t>
            </w: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双层左右推拉讲台，可调节隔板，可拆卸后门，显示器左侧安装电源模块，中央控制器模块。</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材质：1.2—1.5mm厚冷轧钢板。表面经酸洗、磷化防腐防锈后静电喷塑处理、喷后均匀，光洁度好，塑面经久耐用。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规格：讲台长1100mm，宽700mm，台面高900mm。。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一、显示器的结构：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1、液晶显示器0-70度手动无级自由翻转调节</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2、显示器玻璃为汽车钢化玻璃。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二、背门设计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安装一个方便检修设备的后门，并单独配备一把十字卷闸锁，讲台背门采用百叶窗门设计，通风散热。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三、讲台右侧面增加一个推拉式平板（35*25CM），用来存放粉笔及板擦。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四、采用一匙多锁设计（通锁）。</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344" w:type="pct"/>
            <w:noWrap w:val="0"/>
            <w:vAlign w:val="top"/>
          </w:tcPr>
          <w:p>
            <w:r>
              <w:t>1</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6</w:t>
            </w:r>
          </w:p>
        </w:tc>
        <w:tc>
          <w:tcPr>
            <w:tcW w:w="288" w:type="pct"/>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液晶投影机</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NEC、日立、爱普生、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松下</w:t>
            </w:r>
          </w:p>
        </w:tc>
        <w:tc>
          <w:tcPr>
            <w:tcW w:w="2467" w:type="pct"/>
            <w:noWrap w:val="0"/>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1、投影技术：3LCD，液晶板尺寸：≥0.63英寸；</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2、投影尺寸：40-300英寸，                                    3、屏幕比例：16:9、4：3，                                                                                 4、灯泡亮度：≥5200流明；（光源在经济模式可实现8000小时长寿命）                                                 5、标准分辨率：≥1280*800，  </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6、对比度：≥16000：1；                                                                        7、具有正负35度可梯形校正，图像上下左右位移进行微调，便于安装调试；                                                 8、质保时间：2年整机维修(灯泡除外)，灯泡按1000小时保修；</w:t>
            </w:r>
          </w:p>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rPr>
              <w:t>9、包安装调试费用。</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344" w:type="pct"/>
            <w:noWrap w:val="0"/>
            <w:vAlign w:val="top"/>
          </w:tcPr>
          <w:p>
            <w:r>
              <w:t>2</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7</w:t>
            </w:r>
          </w:p>
        </w:tc>
        <w:tc>
          <w:tcPr>
            <w:tcW w:w="288" w:type="pct"/>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多媒体中控系统</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控捷、来同、嘉宏</w:t>
            </w:r>
          </w:p>
        </w:tc>
        <w:tc>
          <w:tcPr>
            <w:tcW w:w="2467" w:type="pct"/>
            <w:noWrap w:val="0"/>
            <w:vAlign w:val="top"/>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集成4*3HDIM与VGA的混合矩阵（1路VGA、3路HDMI输入， 2路VGA，1路HDMI输出），HDMI接口信号输入可以直接VGA接口信号输出，不用另外转接；</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1路3.5立体声音频输入，1路功放3.5立体声输出；</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自带5路电源管理；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1路12V电子锁；1路门磁；1路电脑开关；1路读卡器；</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内置3路RJ45接口；1路红外；1路扩展开关；</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 路DB9串口，控制投影机；1路USB设置口</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前面板接口：1路HDMI输入、1路VGA输入、1路USB、1路网口、1路音频输入口、1路MIC接口；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采用触摸控制面板，易维护，使用寿命长；控制面板带系统开、系统关、投影机开、休眠、投影机关、幕布上、幕布下、电脑开关、净化器开关等按键；</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带音频管理功能，可通过面板控制音量大小、话筒声音大、小，以及一键静音功能，</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带信号切换功能：可切换电脑VGA、笔记本VGA、展台HDMI、笔记本HDMI、无线传屏等高清信号；</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可扩展网络模块:支持远程集中化可视管理、与远程批处理、支持手机APP管理，网络模块带DHCP技术，可以自动派地址；</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可扩展无线传屏功能，把手机内容无线传输到投影机，并且可以直接用控制面板上的按键切换手机信号</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可扩展读卡器,支持一卡通管理，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可扩展：集成2.4G无线话筒接收模块，支持2.4G话筒自动对频、锁频；</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可扩展：集成IP对讲广播模块，全铝合金拉丝外壳，内置高灵敏度拾音器，与数字高保真喇叭输出，带回音反馈抑制功能，实现一键呼叫与管理中心对讲、控制中心对教室的监听、与校园广播，带3.5立体数字音频输出接口可外接功放输出，控制中心配合数字监控系统，可以实现自动判别呼叫信号弹频放大，可视化对讲功能；</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中控厂家通过ISO 9001:2008认证；ISO14001环境认证；网络多媒体管理平台软件著作权；省级以上权威机构的检测认证；</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提供厂家针对此项目的原厂授权书、售后服务书。</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344" w:type="pct"/>
            <w:noWrap w:val="0"/>
            <w:vAlign w:val="top"/>
          </w:tcPr>
          <w:p>
            <w:r>
              <w:t>1</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8</w:t>
            </w:r>
          </w:p>
        </w:tc>
        <w:tc>
          <w:tcPr>
            <w:tcW w:w="28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红外扩声套装</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现代</w:t>
            </w: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HY-10D音箱 X 2、AV-2310A功放机 X 1、无线麦克风 X2、吊架 X 2、音箱线10M X 1、一分二音频线 X 1.10英寸重低音，3.5英寸双高音，支持U盘播放，混响调节，3麦克风接口，内置蓝牙，带LED显示屏。                                              供产品FCC,CE认证证书，必须提供生产厂家授权书原件、售后服务原件；供货时，提供厂家供货确认函，保证原装正品行货。</w:t>
            </w:r>
          </w:p>
        </w:tc>
        <w:tc>
          <w:tcPr>
            <w:tcW w:w="283" w:type="pct"/>
            <w:noWrap w:val="0"/>
            <w:vAlign w:val="center"/>
          </w:tcPr>
          <w:p>
            <w:pPr>
              <w:jc w:val="center"/>
              <w:rPr>
                <w:rFonts w:hint="eastAsia"/>
              </w:rPr>
            </w:pPr>
            <w:r>
              <w:rPr>
                <w:rFonts w:hint="eastAsia"/>
              </w:rPr>
              <w:t>套</w:t>
            </w:r>
          </w:p>
        </w:tc>
        <w:tc>
          <w:tcPr>
            <w:tcW w:w="344" w:type="pct"/>
            <w:noWrap w:val="0"/>
            <w:vAlign w:val="top"/>
          </w:tcPr>
          <w:p>
            <w:r>
              <w:t>1</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9</w:t>
            </w:r>
          </w:p>
        </w:tc>
        <w:tc>
          <w:tcPr>
            <w:tcW w:w="28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功放音箱</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ITC、佳比、锐锋</w:t>
            </w: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功放：主要技术参数：额定功率：2×65W /8Ω；最大功率：2×130W/8Ω ；频率响应：线路输入 20Hz-20KHz、话筒   60Hz-14KHz；线路音调控制：高音  10KHz±12dB、低音   100Hz±12dB；话筒音调控制：高音10KHz±12dB ；低音 100Hz±12dB；额定输入电平：话筒 15mV（非平衡）、 线路 200mV；额定输出电平：线路 0.775V；失真度：≤0.5%；信噪比：≥80dB(A计权)；主保险丝：1A；电源：交流220V±10%/50Hz；</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音箱：主要技术参数：额定功率：65W；最大功率：130W；额定阻抗：4Ω；频率响应：75Hz-20kHz；驱动器：1个6.5寸长冲程低音驱动器、1个3寸前纸盆高音；灵敏度：87dB/1W/1M；最大声压级：120dB；箱体型式：倒相式；箱体及外饰：高密度中纤板（黑色）箱体，钢网；安装：标配壁挂架；</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344" w:type="pct"/>
            <w:noWrap w:val="0"/>
            <w:vAlign w:val="top"/>
          </w:tcPr>
          <w:p>
            <w:r>
              <w:t>1</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10</w:t>
            </w:r>
          </w:p>
        </w:tc>
        <w:tc>
          <w:tcPr>
            <w:tcW w:w="288" w:type="pct"/>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电脑桌椅</w:t>
            </w:r>
          </w:p>
        </w:tc>
        <w:tc>
          <w:tcPr>
            <w:tcW w:w="378" w:type="pct"/>
            <w:noWrap w:val="0"/>
            <w:vAlign w:val="center"/>
          </w:tcPr>
          <w:p>
            <w:pPr>
              <w:widowControl/>
              <w:jc w:val="left"/>
              <w:rPr>
                <w:rFonts w:hint="eastAsia" w:ascii="宋体" w:hAnsi="宋体" w:cs="宋体"/>
                <w:color w:val="000000"/>
                <w:kern w:val="0"/>
                <w:sz w:val="20"/>
                <w:szCs w:val="20"/>
              </w:rPr>
            </w:pP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桌：1、规格长1600mm*宽650mm*高800mm，2、台面采用20mm－30mm银白色实木板前方设计成鸭嘴边形，3、侧板采用10mm-15mm银白色实木板，4、配加一把通锁</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椅子三张：不锈钢凳子 高凳304材质(加厚)全不锈钢凳面，一体式设计，四脚型，每脚均为双管合并，圆管直径大于22mm，厚度大于1mm。承重300斤。</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344" w:type="pct"/>
            <w:noWrap w:val="0"/>
            <w:vAlign w:val="top"/>
          </w:tcPr>
          <w:p>
            <w:r>
              <w:t>28</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bidi="ar"/>
              </w:rPr>
              <w:t>11</w:t>
            </w:r>
          </w:p>
        </w:tc>
        <w:tc>
          <w:tcPr>
            <w:tcW w:w="28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18"/>
                <w:szCs w:val="18"/>
              </w:rPr>
              <w:t>布线装修</w:t>
            </w:r>
          </w:p>
        </w:tc>
        <w:tc>
          <w:tcPr>
            <w:tcW w:w="378" w:type="pct"/>
            <w:noWrap w:val="0"/>
            <w:vAlign w:val="center"/>
          </w:tcPr>
          <w:p>
            <w:pPr>
              <w:widowControl/>
              <w:jc w:val="left"/>
              <w:rPr>
                <w:rFonts w:hint="eastAsia" w:ascii="宋体" w:hAnsi="宋体" w:cs="宋体"/>
                <w:color w:val="000000"/>
                <w:kern w:val="0"/>
                <w:sz w:val="20"/>
                <w:szCs w:val="20"/>
              </w:rPr>
            </w:pP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包括安装静电地板（</w:t>
            </w:r>
            <w:r>
              <w:rPr>
                <w:rFonts w:hint="eastAsia" w:ascii="宋体" w:hAnsi="宋体" w:cs="宋体"/>
                <w:color w:val="000000"/>
                <w:kern w:val="0"/>
                <w:sz w:val="20"/>
                <w:szCs w:val="20"/>
                <w:lang w:val="en-US" w:eastAsia="zh-CN"/>
              </w:rPr>
              <w:t>108</w:t>
            </w:r>
            <w:r>
              <w:rPr>
                <w:rFonts w:hint="eastAsia" w:ascii="宋体" w:hAnsi="宋体" w:cs="宋体"/>
                <w:color w:val="000000"/>
                <w:kern w:val="0"/>
                <w:sz w:val="20"/>
                <w:szCs w:val="20"/>
              </w:rPr>
              <w:t>平方）、强电安装、网络布线（综合布线采用山泽(SAMZHE)原装六类网线CAT6类 非屏蔽），RVV2×1.5平方音频线/RVV3×1.5控制线/96编视频线带连接头/6厘防暴螺丝等配件辅材、联塑优质线管、线槽\网络布线及强电工程人工安装调试费，每两个位配三组网络连接线，RJ45接口至静电地板不少于1.5m。每个座位，至少有三个三插电源插座。增加两根铠装光纤线至楼栋光纤交换机，并完成链路测试。</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符合国家GB 50312-2007综合布线工程验收规范。</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符合国家标准《电子计算机机房设计规范》(GB50174-93)</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国家标准《计算站场地技术要求》(GB2887-89)</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国家标准《电子计算机机房施工及验收规范》(SJ/T30003-93)</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国家标准《计算机机房活动地板的技术要求》(GB6650-86)</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国家标准《计算站场地安全技术》(GB9361-88)</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国家标准《电气装置安装工程接地装置施工及验收规范》(GB50169-92)</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中华人民共和国公共安全行业标准GA/T75-94《安全防范工程程序与要求》</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符合 《中华人民共和国计算机信息系统安全保护条例》</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项</w:t>
            </w:r>
          </w:p>
        </w:tc>
        <w:tc>
          <w:tcPr>
            <w:tcW w:w="344" w:type="pct"/>
            <w:noWrap w:val="0"/>
            <w:vAlign w:val="top"/>
          </w:tcPr>
          <w:p>
            <w:r>
              <w:t>1</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2</w:t>
            </w:r>
          </w:p>
        </w:tc>
        <w:tc>
          <w:tcPr>
            <w:tcW w:w="288"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投影幕布</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红叶</w:t>
            </w: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120英寸16:9玻纤电动遥控幕布 投影仪幕布 投影幕布 电动幕布 投影机幕布品牌</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颜色白色</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344" w:type="pct"/>
            <w:noWrap w:val="0"/>
            <w:vAlign w:val="top"/>
          </w:tcPr>
          <w:p>
            <w:r>
              <w:t>1</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3</w:t>
            </w:r>
          </w:p>
        </w:tc>
        <w:tc>
          <w:tcPr>
            <w:tcW w:w="288"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机柜</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金盾、图腾</w:t>
            </w: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ab/>
            </w:r>
            <w:r>
              <w:rPr>
                <w:rFonts w:hint="eastAsia" w:ascii="宋体" w:hAnsi="宋体" w:cs="宋体"/>
                <w:color w:val="000000"/>
                <w:kern w:val="0"/>
                <w:sz w:val="20"/>
                <w:szCs w:val="20"/>
              </w:rPr>
              <w:t>网络机柜22U机柜1.2米标准19英寸 冷轧钢板加厚钢交换机服务器机柜 22U网络机柜-深600*宽600*高1200</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344" w:type="pct"/>
            <w:noWrap w:val="0"/>
            <w:vAlign w:val="top"/>
          </w:tcPr>
          <w:p>
            <w:r>
              <w:t>1</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4</w:t>
            </w:r>
          </w:p>
        </w:tc>
        <w:tc>
          <w:tcPr>
            <w:tcW w:w="288"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黑板</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得力/比比牛</w:t>
            </w: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黑板支架式90*150cm 粉笔写字板带四脚白板架</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套</w:t>
            </w:r>
          </w:p>
        </w:tc>
        <w:tc>
          <w:tcPr>
            <w:tcW w:w="344" w:type="pct"/>
            <w:noWrap w:val="0"/>
            <w:vAlign w:val="top"/>
          </w:tcPr>
          <w:p>
            <w:r>
              <w:t>2</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p>
        </w:tc>
        <w:tc>
          <w:tcPr>
            <w:tcW w:w="288"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服务器</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浪潮/联想/戴尔</w:t>
            </w: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塔式服务器主机 </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CPU颗数：2颗</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机箱规格：塔式</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显存：集成显卡，其他类型：塔式服务器，</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其他内存类型：Non-ECC</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处理器：至强Xeon-银牌</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操作系统：Windows Server硬盘总容量：8T以上，带8块硬盘，支持RAID 10/5</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缓存：2G缓存，无缓存，其他</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内存总容量：32G</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电源：1+1冗余</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硬盘转速：7200 RPM，15000 RPM，其他硬盘类型：SAS，SATA，其他</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344" w:type="pct"/>
            <w:noWrap w:val="0"/>
            <w:vAlign w:val="top"/>
          </w:tcPr>
          <w:p>
            <w:r>
              <w:t>1</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3" w:type="pct"/>
            <w:noWrap w:val="0"/>
            <w:vAlign w:val="center"/>
          </w:tcPr>
          <w:p>
            <w:pPr>
              <w:widowControl/>
              <w:jc w:val="left"/>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p>
        </w:tc>
        <w:tc>
          <w:tcPr>
            <w:tcW w:w="288" w:type="pct"/>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空调</w:t>
            </w:r>
          </w:p>
        </w:tc>
        <w:tc>
          <w:tcPr>
            <w:tcW w:w="378"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美的/格力</w:t>
            </w:r>
          </w:p>
        </w:tc>
        <w:tc>
          <w:tcPr>
            <w:tcW w:w="2467" w:type="pct"/>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变频/定频：定频产品，特色：智能空调，静音空调，易拆洗，独立除湿，冷暖类型：冷暖空调，能效等级：3级商品匹数：3匹（30-40㎡）空调类别：立柜式空调，制冷量(W)7300，制冷功率(W)2370</w:t>
            </w:r>
          </w:p>
        </w:tc>
        <w:tc>
          <w:tcPr>
            <w:tcW w:w="283" w:type="pct"/>
            <w:noWrap w:val="0"/>
            <w:vAlign w:val="center"/>
          </w:tcPr>
          <w:p>
            <w:pPr>
              <w:widowControl/>
              <w:rPr>
                <w:rFonts w:hint="eastAsia" w:ascii="宋体" w:hAnsi="宋体" w:cs="宋体"/>
                <w:bCs/>
                <w:color w:val="000000"/>
                <w:kern w:val="0"/>
                <w:szCs w:val="21"/>
              </w:rPr>
            </w:pPr>
            <w:r>
              <w:rPr>
                <w:rFonts w:hint="eastAsia" w:ascii="宋体" w:hAnsi="宋体" w:cs="宋体"/>
                <w:bCs/>
                <w:color w:val="000000"/>
                <w:kern w:val="0"/>
                <w:szCs w:val="21"/>
              </w:rPr>
              <w:t>台</w:t>
            </w:r>
          </w:p>
        </w:tc>
        <w:tc>
          <w:tcPr>
            <w:tcW w:w="344" w:type="pct"/>
            <w:noWrap w:val="0"/>
            <w:vAlign w:val="top"/>
          </w:tcPr>
          <w:p>
            <w:r>
              <w:t>2</w:t>
            </w:r>
          </w:p>
        </w:tc>
        <w:tc>
          <w:tcPr>
            <w:tcW w:w="366" w:type="pct"/>
            <w:noWrap w:val="0"/>
            <w:vAlign w:val="top"/>
          </w:tcPr>
          <w:p/>
        </w:tc>
        <w:tc>
          <w:tcPr>
            <w:tcW w:w="657"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48" w:type="pct"/>
            <w:gridSpan w:val="4"/>
            <w:noWrap w:val="0"/>
            <w:vAlign w:val="center"/>
          </w:tcPr>
          <w:p>
            <w:pPr>
              <w:tabs>
                <w:tab w:val="left" w:pos="2340"/>
              </w:tabs>
              <w:jc w:val="left"/>
              <w:rPr>
                <w:rFonts w:ascii="宋体" w:hAnsi="宋体" w:cs="宋体"/>
                <w:color w:val="000000"/>
                <w:kern w:val="0"/>
                <w:sz w:val="18"/>
                <w:szCs w:val="18"/>
              </w:rPr>
            </w:pPr>
            <w:r>
              <w:rPr>
                <w:rFonts w:hint="eastAsia" w:ascii="宋体" w:hAnsi="宋体" w:cs="宋体"/>
                <w:color w:val="000000"/>
                <w:kern w:val="0"/>
                <w:sz w:val="18"/>
                <w:szCs w:val="18"/>
              </w:rPr>
              <w:tab/>
            </w:r>
            <w:r>
              <w:rPr>
                <w:rFonts w:hint="eastAsia" w:ascii="宋体" w:hAnsi="宋体" w:cs="宋体"/>
                <w:color w:val="000000"/>
                <w:kern w:val="0"/>
                <w:sz w:val="18"/>
                <w:szCs w:val="18"/>
              </w:rPr>
              <w:t>合计</w:t>
            </w:r>
          </w:p>
        </w:tc>
        <w:tc>
          <w:tcPr>
            <w:tcW w:w="1651" w:type="pct"/>
            <w:gridSpan w:val="4"/>
            <w:noWrap w:val="0"/>
            <w:vAlign w:val="center"/>
          </w:tcPr>
          <w:p>
            <w:pPr>
              <w:widowControl/>
              <w:jc w:val="center"/>
              <w:textAlignment w:val="center"/>
              <w:rPr>
                <w:rFonts w:hint="eastAsia"/>
                <w:color w:val="000000"/>
                <w:szCs w:val="21"/>
              </w:rPr>
            </w:pPr>
          </w:p>
        </w:tc>
      </w:tr>
    </w:tbl>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after="0"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48"/>
          <w:szCs w:val="48"/>
        </w:rPr>
        <w:t>采购合同</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                                          合同编号:DGCY</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设备（详见附件《设备配置一览表》），及相关设备的配套安装、调试和人员培训培训。</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　</w:t>
      </w:r>
      <w:r>
        <w:rPr>
          <w:rFonts w:hint="eastAsia" w:asciiTheme="minorEastAsia" w:hAnsiTheme="minorEastAsia" w:eastAsiaTheme="minorEastAsia"/>
          <w:b/>
          <w:sz w:val="24"/>
          <w:szCs w:val="24"/>
        </w:rPr>
        <w:t>元（人民币大写</w:t>
      </w:r>
      <w:r>
        <w:rPr>
          <w:rFonts w:hint="eastAsia" w:asciiTheme="minorEastAsia" w:hAnsiTheme="minorEastAsia" w:eastAsiaTheme="minorEastAsia"/>
          <w:b/>
          <w:sz w:val="24"/>
          <w:szCs w:val="24"/>
          <w:lang w:eastAsia="zh-CN"/>
        </w:rPr>
        <w:t>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。本报价依据附件《设备配置一览表》计算得来。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3.1项目验收合格后支付总价款的</w:t>
      </w:r>
      <w:r>
        <w:rPr>
          <w:rFonts w:hint="eastAsia" w:asciiTheme="minorEastAsia" w:hAnsiTheme="minorEastAsia" w:eastAsiaTheme="minorEastAsia"/>
          <w:sz w:val="24"/>
          <w:szCs w:val="24"/>
          <w:u w:val="single"/>
        </w:rPr>
        <w:t>95</w:t>
      </w:r>
      <w:r>
        <w:rPr>
          <w:rFonts w:hint="eastAsia" w:asciiTheme="minorEastAsia" w:hAnsiTheme="minorEastAsia" w:eastAsiaTheme="minorEastAsia"/>
          <w:sz w:val="24"/>
          <w:szCs w:val="24"/>
        </w:rPr>
        <w:t>%，项目</w:t>
      </w:r>
      <w:r>
        <w:rPr>
          <w:rFonts w:hint="eastAsia" w:asciiTheme="minorEastAsia" w:hAnsiTheme="minorEastAsia" w:eastAsiaTheme="minorEastAsia"/>
          <w:sz w:val="24"/>
          <w:szCs w:val="24"/>
          <w:u w:val="single"/>
        </w:rPr>
        <w:t>三年</w:t>
      </w:r>
      <w:r>
        <w:rPr>
          <w:rFonts w:hint="eastAsia" w:asciiTheme="minorEastAsia" w:hAnsiTheme="minorEastAsia" w:eastAsiaTheme="minorEastAsia"/>
          <w:sz w:val="24"/>
          <w:szCs w:val="24"/>
        </w:rPr>
        <w:t>质保期满后支付总价款的</w:t>
      </w:r>
      <w:r>
        <w:rPr>
          <w:rFonts w:hint="eastAsia" w:asciiTheme="minorEastAsia" w:hAnsiTheme="minorEastAsia" w:eastAsiaTheme="minorEastAsia"/>
          <w:sz w:val="24"/>
          <w:szCs w:val="24"/>
          <w:u w:val="single"/>
        </w:rPr>
        <w:t>5</w:t>
      </w:r>
      <w:r>
        <w:rPr>
          <w:rFonts w:hint="eastAsia" w:asciiTheme="minorEastAsia" w:hAnsiTheme="minorEastAsia" w:eastAsiaTheme="minorEastAsia"/>
          <w:sz w:val="24"/>
          <w:szCs w:val="24"/>
        </w:rPr>
        <w:t>%，自付款条件成立之日乙方需向甲方出具增值税普通发票，甲方自收到发票之日起15个工作日内完成付款。</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　</w:t>
      </w:r>
      <w:r>
        <w:rPr>
          <w:rFonts w:hint="eastAsia" w:asciiTheme="minorEastAsia" w:hAnsiTheme="minorEastAsia" w:eastAsiaTheme="minorEastAsia"/>
          <w:b w:val="0"/>
          <w:bCs/>
          <w:sz w:val="24"/>
          <w:szCs w:val="24"/>
        </w:rPr>
        <w:t>元（人民币大写</w:t>
      </w:r>
      <w:r>
        <w:rPr>
          <w:rFonts w:hint="eastAsia" w:asciiTheme="minorEastAsia" w:hAnsiTheme="minorEastAsia" w:eastAsiaTheme="minorEastAsia"/>
          <w:b w:val="0"/>
          <w:bCs/>
          <w:sz w:val="24"/>
          <w:szCs w:val="24"/>
          <w:lang w:eastAsia="zh-CN"/>
        </w:rPr>
        <w:t>　</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eastAsia" w:asciiTheme="minorEastAsia" w:hAnsiTheme="minorEastAsia" w:eastAsiaTheme="minorEastAsia"/>
          <w:b w:val="0"/>
          <w:bCs/>
          <w:sz w:val="24"/>
          <w:szCs w:val="24"/>
          <w:lang w:val="en-US" w:eastAsia="zh-CN"/>
        </w:rPr>
        <w:t>95%</w:t>
      </w:r>
      <w:r>
        <w:rPr>
          <w:rFonts w:hint="eastAsia" w:asciiTheme="minorEastAsia" w:hAnsiTheme="minorEastAsia" w:eastAsiaTheme="minorEastAsia"/>
          <w:b w:val="0"/>
          <w:bCs/>
          <w:sz w:val="24"/>
          <w:szCs w:val="24"/>
          <w:lang w:eastAsia="zh-CN"/>
        </w:rPr>
        <w:t>合同款项一同无息支付。</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乙方指定收款账户如下</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户名：</w:t>
      </w:r>
      <w:r>
        <w:rPr>
          <w:rFonts w:hint="eastAsia" w:asciiTheme="minorEastAsia" w:hAnsiTheme="minorEastAsia" w:eastAsiaTheme="minorEastAsia"/>
          <w:sz w:val="24"/>
          <w:szCs w:val="24"/>
          <w:lang w:eastAsia="zh-CN"/>
        </w:rPr>
        <w:t>　</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日前完成。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eastAsia="宋体"/>
          <w:sz w:val="24"/>
          <w:szCs w:val="24"/>
        </w:rPr>
        <w:t>乙方需重新整改直至甲方验收通过后方视为合格交付</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w:t>
      </w:r>
      <w:r>
        <w:rPr>
          <w:rFonts w:hint="eastAsia" w:asciiTheme="minorEastAsia" w:hAnsiTheme="minorEastAsia" w:eastAsiaTheme="minorEastAsia"/>
          <w:sz w:val="24"/>
          <w:szCs w:val="24"/>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6"/>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1B13FA"/>
    <w:rsid w:val="054D2BFD"/>
    <w:rsid w:val="09330A69"/>
    <w:rsid w:val="0ACC5DF5"/>
    <w:rsid w:val="0EB0186C"/>
    <w:rsid w:val="105474DC"/>
    <w:rsid w:val="10684C38"/>
    <w:rsid w:val="131666F1"/>
    <w:rsid w:val="13792518"/>
    <w:rsid w:val="144A6B2D"/>
    <w:rsid w:val="18C73360"/>
    <w:rsid w:val="19C85AD8"/>
    <w:rsid w:val="1A7427F6"/>
    <w:rsid w:val="1B0C6171"/>
    <w:rsid w:val="1D1442A5"/>
    <w:rsid w:val="1D221941"/>
    <w:rsid w:val="1E29220D"/>
    <w:rsid w:val="1EB0491E"/>
    <w:rsid w:val="2056647B"/>
    <w:rsid w:val="225F30DC"/>
    <w:rsid w:val="262004F6"/>
    <w:rsid w:val="26B4353F"/>
    <w:rsid w:val="26B43D6F"/>
    <w:rsid w:val="2BEC5448"/>
    <w:rsid w:val="2FE77792"/>
    <w:rsid w:val="30E102E9"/>
    <w:rsid w:val="31D908A4"/>
    <w:rsid w:val="339E3373"/>
    <w:rsid w:val="33AF39D2"/>
    <w:rsid w:val="35C63326"/>
    <w:rsid w:val="3B5C2CE5"/>
    <w:rsid w:val="3BEA56AA"/>
    <w:rsid w:val="3C141BC3"/>
    <w:rsid w:val="3D1B6F9C"/>
    <w:rsid w:val="40B95CF2"/>
    <w:rsid w:val="43A043C5"/>
    <w:rsid w:val="45806593"/>
    <w:rsid w:val="45F24C02"/>
    <w:rsid w:val="4C35695B"/>
    <w:rsid w:val="4CF06924"/>
    <w:rsid w:val="4D7E3925"/>
    <w:rsid w:val="4EB57E9D"/>
    <w:rsid w:val="4F040248"/>
    <w:rsid w:val="4F625365"/>
    <w:rsid w:val="4FC30E07"/>
    <w:rsid w:val="4FC95985"/>
    <w:rsid w:val="51921510"/>
    <w:rsid w:val="547E177A"/>
    <w:rsid w:val="5570735D"/>
    <w:rsid w:val="57D609A7"/>
    <w:rsid w:val="57D82FCF"/>
    <w:rsid w:val="57E8020C"/>
    <w:rsid w:val="587C6AF1"/>
    <w:rsid w:val="5A511A8B"/>
    <w:rsid w:val="5D6C4B4A"/>
    <w:rsid w:val="60BE20C2"/>
    <w:rsid w:val="616F095A"/>
    <w:rsid w:val="653F493C"/>
    <w:rsid w:val="66106083"/>
    <w:rsid w:val="66280C45"/>
    <w:rsid w:val="668A4F9B"/>
    <w:rsid w:val="686E02C5"/>
    <w:rsid w:val="6C0945E1"/>
    <w:rsid w:val="6C1E7857"/>
    <w:rsid w:val="6D1A416D"/>
    <w:rsid w:val="6D5E5A20"/>
    <w:rsid w:val="6E121278"/>
    <w:rsid w:val="6F8F1BD8"/>
    <w:rsid w:val="6FBE6DCB"/>
    <w:rsid w:val="705444BF"/>
    <w:rsid w:val="70C911EE"/>
    <w:rsid w:val="7168266A"/>
    <w:rsid w:val="727B7DB8"/>
    <w:rsid w:val="73B3325E"/>
    <w:rsid w:val="75E6366F"/>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 w:type="character" w:customStyle="1" w:styleId="65">
    <w:name w:val="NormalCharacter"/>
    <w:qFormat/>
    <w:uiPriority w:val="0"/>
  </w:style>
  <w:style w:type="paragraph" w:customStyle="1" w:styleId="66">
    <w:name w:val="UserStyle_15"/>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2</TotalTime>
  <ScaleCrop>false</ScaleCrop>
  <LinksUpToDate>false</LinksUpToDate>
  <CharactersWithSpaces>9093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2021-01-11T02:42:56Z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_DocHome">
    <vt:r8>-1750864559</vt:r8>
  </property>
</Properties>
</file>