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hint="eastAsia" w:ascii="宋体" w:hAnsi="宋体" w:eastAsia="宋体" w:cs="宋体"/>
          <w:b/>
          <w:bCs/>
          <w:sz w:val="31"/>
          <w:szCs w:val="31"/>
          <w:lang w:val="en-US" w:eastAsia="zh-CN"/>
        </w:rPr>
      </w:pPr>
      <w:r>
        <w:rPr>
          <w:rFonts w:hint="eastAsia" w:ascii="宋体" w:hAnsi="宋体" w:cs="宋体"/>
          <w:b/>
          <w:bCs/>
          <w:sz w:val="31"/>
          <w:szCs w:val="31"/>
        </w:rPr>
        <w:t>项目编号：DGUT-CY-2020</w:t>
      </w:r>
      <w:r>
        <w:rPr>
          <w:rFonts w:hint="default" w:ascii="宋体" w:hAnsi="宋体" w:cs="宋体"/>
          <w:b/>
          <w:bCs/>
          <w:sz w:val="31"/>
          <w:szCs w:val="31"/>
          <w:lang w:val="en-US"/>
        </w:rPr>
        <w:t>1209</w:t>
      </w:r>
      <w:r>
        <w:rPr>
          <w:rFonts w:ascii="宋体" w:hAnsi="宋体" w:cs="宋体"/>
          <w:b/>
          <w:bCs/>
          <w:sz w:val="31"/>
          <w:szCs w:val="31"/>
        </w:rPr>
        <w:t>0</w:t>
      </w:r>
      <w:r>
        <w:rPr>
          <w:rFonts w:hint="eastAsia" w:ascii="宋体" w:hAnsi="宋体" w:cs="宋体"/>
          <w:b/>
          <w:bCs/>
          <w:sz w:val="31"/>
          <w:szCs w:val="31"/>
          <w:lang w:val="en-US" w:eastAsia="zh-CN"/>
        </w:rPr>
        <w:t>5</w:t>
      </w:r>
    </w:p>
    <w:p>
      <w:pPr>
        <w:snapToGrid w:val="0"/>
        <w:spacing w:line="600" w:lineRule="exact"/>
        <w:jc w:val="center"/>
        <w:rPr>
          <w:rFonts w:hint="eastAsia" w:ascii="宋体" w:hAnsi="宋体" w:eastAsia="宋体" w:cs="宋体"/>
          <w:b/>
          <w:bCs/>
          <w:sz w:val="31"/>
          <w:szCs w:val="31"/>
          <w:lang w:eastAsia="zh-CN"/>
        </w:rPr>
      </w:pPr>
      <w:r>
        <w:rPr>
          <w:rFonts w:hint="eastAsia" w:ascii="宋体" w:hAnsi="宋体" w:cs="宋体"/>
          <w:b/>
          <w:bCs/>
          <w:sz w:val="31"/>
          <w:szCs w:val="31"/>
        </w:rPr>
        <w:t xml:space="preserve"> 项目名称：</w:t>
      </w:r>
      <w:r>
        <w:rPr>
          <w:rFonts w:hint="eastAsia" w:ascii="宋体" w:hAnsi="宋体" w:cs="宋体"/>
          <w:b/>
          <w:bCs/>
          <w:sz w:val="31"/>
          <w:szCs w:val="31"/>
          <w:lang w:eastAsia="zh-CN"/>
        </w:rPr>
        <w:t>城环学院精密仪器实验</w:t>
      </w:r>
      <w:r>
        <w:rPr>
          <w:rFonts w:hint="eastAsia" w:ascii="宋体" w:hAnsi="宋体" w:cs="宋体"/>
          <w:b/>
          <w:bCs/>
          <w:sz w:val="31"/>
          <w:szCs w:val="31"/>
        </w:rPr>
        <w:t>设备</w:t>
      </w:r>
      <w:r>
        <w:rPr>
          <w:rFonts w:hint="eastAsia" w:ascii="宋体" w:hAnsi="宋体" w:cs="宋体"/>
          <w:b/>
          <w:bCs/>
          <w:sz w:val="31"/>
          <w:szCs w:val="31"/>
          <w:lang w:eastAsia="zh-CN"/>
        </w:rPr>
        <w:t>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二Ｏ二Ｏ年</w:t>
      </w:r>
      <w:r>
        <w:rPr>
          <w:rFonts w:hint="eastAsia" w:ascii="宋体" w:hAnsi="宋体" w:cs="宋体"/>
          <w:b/>
          <w:bCs/>
          <w:sz w:val="31"/>
          <w:szCs w:val="31"/>
          <w:lang w:eastAsia="zh-CN"/>
        </w:rPr>
        <w:t>十二</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城环学院精密仪器实验室</w:t>
      </w:r>
      <w:r>
        <w:rPr>
          <w:rFonts w:hint="eastAsia" w:ascii="宋体" w:hAnsi="宋体" w:cs="宋体"/>
          <w:b/>
          <w:bCs/>
          <w:sz w:val="24"/>
          <w:szCs w:val="24"/>
          <w:u w:val="single"/>
        </w:rPr>
        <w:t>设备</w:t>
      </w:r>
      <w:r>
        <w:rPr>
          <w:rFonts w:hint="eastAsia" w:ascii="宋体" w:hAnsi="宋体" w:cs="宋体"/>
        </w:rPr>
        <w:t>采购项目（采购编号</w:t>
      </w:r>
      <w:r>
        <w:rPr>
          <w:rFonts w:hint="eastAsia" w:ascii="宋体" w:hAnsi="宋体" w:cs="宋体"/>
          <w:color w:val="FF0000"/>
        </w:rPr>
        <w:t>DGUT-CY-2020</w:t>
      </w:r>
      <w:r>
        <w:rPr>
          <w:rFonts w:hint="eastAsia" w:ascii="宋体" w:hAnsi="宋体" w:cs="宋体"/>
          <w:color w:val="FF0000"/>
          <w:lang w:val="en-US" w:eastAsia="zh-CN"/>
        </w:rPr>
        <w:t>120905</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2020年</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日至</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18</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接受投标文件时间：2020年1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25</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30</w:t>
      </w:r>
      <w:r>
        <w:rPr>
          <w:rFonts w:hint="eastAsia" w:ascii="宋体" w:hAnsi="宋体" w:cs="宋体"/>
          <w:color w:val="FF0000"/>
        </w:rPr>
        <w:t>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叁</w:t>
      </w:r>
      <w:r>
        <w:rPr>
          <w:rFonts w:hint="eastAsia" w:ascii="宋体" w:hAnsi="宋体" w:cs="宋体"/>
          <w:b/>
          <w:bCs/>
        </w:rPr>
        <w:t>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ascii="宋体" w:hAnsi="宋体" w:cs="宋体"/>
          <w:b/>
          <w:bCs/>
          <w:sz w:val="36"/>
          <w:szCs w:val="36"/>
        </w:rPr>
      </w:pPr>
      <w:r>
        <w:rPr>
          <w:rFonts w:hint="eastAsia" w:ascii="宋体" w:hAnsi="宋体" w:cs="宋体"/>
          <w:b/>
          <w:bCs/>
          <w:sz w:val="36"/>
          <w:szCs w:val="36"/>
        </w:rPr>
        <w:t>附件一、　　　　　　用户需求书</w:t>
      </w:r>
    </w:p>
    <w:tbl>
      <w:tblPr>
        <w:tblStyle w:val="22"/>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38"/>
        <w:gridCol w:w="1354"/>
        <w:gridCol w:w="4731"/>
        <w:gridCol w:w="355"/>
        <w:gridCol w:w="567"/>
        <w:gridCol w:w="85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3" w:hRule="atLeast"/>
          <w:jc w:val="center"/>
        </w:trPr>
        <w:tc>
          <w:tcPr>
            <w:tcW w:w="427"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38"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设备名称</w:t>
            </w:r>
          </w:p>
        </w:tc>
        <w:tc>
          <w:tcPr>
            <w:tcW w:w="1354" w:type="dxa"/>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参考品牌</w:t>
            </w:r>
          </w:p>
        </w:tc>
        <w:tc>
          <w:tcPr>
            <w:tcW w:w="4731"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招标技术参数</w:t>
            </w:r>
          </w:p>
        </w:tc>
        <w:tc>
          <w:tcPr>
            <w:tcW w:w="355"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567"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850" w:type="dxa"/>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单价</w:t>
            </w:r>
          </w:p>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（万）</w:t>
            </w:r>
          </w:p>
        </w:tc>
        <w:tc>
          <w:tcPr>
            <w:tcW w:w="818" w:type="dxa"/>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金额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27"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w:t>
            </w:r>
          </w:p>
        </w:tc>
        <w:tc>
          <w:tcPr>
            <w:tcW w:w="1238"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ICP-OES</w:t>
            </w:r>
          </w:p>
        </w:tc>
        <w:tc>
          <w:tcPr>
            <w:tcW w:w="1354" w:type="dxa"/>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珀金埃尔默企业管理   （上海）有限公司</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Avio</w:t>
            </w:r>
            <w:r>
              <w:rPr>
                <w:rFonts w:hint="eastAsia" w:ascii="宋体" w:hAnsi="宋体" w:cs="宋体"/>
                <w:color w:val="000000"/>
                <w:kern w:val="0"/>
                <w:sz w:val="20"/>
                <w:szCs w:val="20"/>
                <w:vertAlign w:val="superscript"/>
                <w:lang w:bidi="ar"/>
              </w:rPr>
              <w:t xml:space="preserve">  </w:t>
            </w:r>
            <w:r>
              <w:rPr>
                <w:rFonts w:hint="eastAsia" w:ascii="宋体" w:hAnsi="宋体" w:cs="宋体"/>
                <w:color w:val="000000"/>
                <w:kern w:val="0"/>
                <w:sz w:val="20"/>
                <w:szCs w:val="20"/>
                <w:lang w:bidi="ar"/>
              </w:rPr>
              <w:t>200</w:t>
            </w:r>
          </w:p>
        </w:tc>
        <w:tc>
          <w:tcPr>
            <w:tcW w:w="4731" w:type="dxa"/>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自激式固态射频发生器，功率输出增量 1W。</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能量传输：&gt;81% 能量传输效率。 </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具有全谱直读功能，谱库不少于5.7万条；</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具有全谱添加功能；</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具有全谱呈现功能，每条谱线至少可以显示60个像素点；</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具有全谱直看功能；具有全谱叠加功能。</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专利的多谱线拟合技术具有形态分析功能具有虚拟仪器功能。</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包布线安装、调试、培训等。</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详细参数：</w:t>
            </w:r>
          </w:p>
          <w:p>
            <w:pPr>
              <w:widowControl/>
              <w:numPr>
                <w:ilvl w:val="0"/>
                <w:numId w:val="10"/>
              </w:numPr>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三路质量流量计控制，其中雾化气由高精密度质量流量计控制 ，流量 0~2.0 升/分，增量 0.01 升/分。</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专利的(美国专利号:5483337)等离子体双向观测系统，计算机控制自动选择观测方式。</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十字交叉雾化器，蓝宝石样品喷嘴，耐高盐分，耐HF酸。</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Scott雾室，耐HF酸。</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一体化卡口式炬管安装组件，无需任何工具，1分钟即可完成拆卸和安装</w:t>
            </w:r>
            <w:r>
              <w:rPr>
                <w:rFonts w:hint="eastAsia" w:ascii="宋体" w:hAnsi="宋体" w:cs="宋体"/>
                <w:color w:val="000000"/>
                <w:kern w:val="0"/>
                <w:sz w:val="20"/>
                <w:szCs w:val="20"/>
                <w:lang w:bidi="ar"/>
              </w:rPr>
              <w:t>。</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专利的无需冷却无需维护的平板替代了传统的线圈，产生平底的等离子体，氩气消耗降低一半。</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内置式水平4通道蠕动泵，由软件控制，具有SmartRinse智能冲洗功能</w:t>
            </w:r>
            <w:r>
              <w:rPr>
                <w:rFonts w:hint="eastAsia" w:ascii="宋体" w:hAnsi="宋体" w:cs="宋体"/>
                <w:color w:val="000000"/>
                <w:kern w:val="0"/>
                <w:sz w:val="20"/>
                <w:szCs w:val="20"/>
                <w:lang w:bidi="ar"/>
              </w:rPr>
              <w:t>。</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实时背景校正功能。</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元素间干扰系数法校正功能 (IEC)。</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专利的(美国专利号:5308982)多谱线拟合MSF功能,在复杂干扰情况下扣除干扰更彻底,比单边基线背景校正,双边基线背景校正,元素间校正检出限改善10倍以上。</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专利的(美国专利号:5412468)智能预曝光自动确定积分时间功能,无需人工设定每个元素的积分时间,软件根据每个样品中各个元素含量的不同,以0.02秒预曝光,根据预曝光的强度智能确定每个元素的最佳积分时间。</w:t>
            </w:r>
          </w:p>
          <w:p>
            <w:pPr>
              <w:widowControl/>
              <w:numPr>
                <w:ilvl w:val="0"/>
                <w:numId w:val="10"/>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内置5万多条谱线库供调用选择。内置方法与报告向导功能。内置等离子体摄像功能，实时全彩色观察等离子体，便于方法开发和远程诊断。商业数据库管理数据文件；数据档案管理功能；系统操作分级管理；数据校正处理记录功能</w:t>
            </w:r>
            <w:r>
              <w:rPr>
                <w:rFonts w:hint="eastAsia" w:ascii="宋体" w:hAnsi="宋体" w:cs="宋体"/>
                <w:color w:val="000000"/>
                <w:kern w:val="0"/>
                <w:sz w:val="20"/>
                <w:szCs w:val="20"/>
                <w:lang w:bidi="ar"/>
              </w:rPr>
              <w:t>。</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本仪器内配置项目：</w:t>
            </w:r>
          </w:p>
          <w:p>
            <w:pPr>
              <w:widowControl/>
              <w:numPr>
                <w:ilvl w:val="0"/>
                <w:numId w:val="11"/>
              </w:numPr>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ICP Syngistix Software Assembly/ICP系列等离子体发射光谱仪操作软件；</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Air Dryer Filter Assy. w/ R250 Regulator 空气过滤器</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BLACK HOSE ASSAY ARGON/AIR</w:t>
            </w:r>
            <w:r>
              <w:rPr>
                <w:rFonts w:hint="eastAsia" w:ascii="宋体" w:hAnsi="宋体" w:cs="宋体"/>
                <w:color w:val="000000"/>
                <w:kern w:val="0"/>
                <w:sz w:val="20"/>
                <w:szCs w:val="20"/>
                <w:lang w:bidi="ar"/>
              </w:rPr>
              <w:t>（空气管路）；</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Installation Solution for Avio 200</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Chiller Coolant Mix 30 Plus-Five 1/2 Gal 冷却剂</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Quartz Torch 1 Slot 炬管</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Torch Glassware O-Ring Kit 炬管O圈组件</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Injector O-Ring Kit 射管O圈组件</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Alumina, 2.0 mm i.d.2.0mm 氧化铝喷射管</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GemTip Tip Kit for Crossflow Neb宝石喷嘴</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Small O-Ring for Gem Tips喷嘴O圈</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Crossflow O-Ring Kit 雾化器O圈套件</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Axial view Purge Extension Window轴向石英窗</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Radial view Purge Extension Window径向石英窗</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O-Ring (for Dual View Axial Purge Window)轴向吹扫窗O圈</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O-Ring (for Dual View Radial Purge Tube)径向吹扫管O圈</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Standard Pump Tubing 0.76mm i.d.PVC pkg.12蠕动泵管12根/包</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Pump Drain Tubing 1.14mm i.d.PVC pkg.12废液管12根/包</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Capillary Tubing 10FT进样毛细管3米</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S10 Autosampler for ICP-OES 150位自动进样器</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 mL, Translucent polypropylene vessels, Qty.500</w:t>
            </w:r>
            <w:r>
              <w:rPr>
                <w:rFonts w:hint="eastAsia" w:ascii="宋体" w:hAnsi="宋体" w:cs="宋体"/>
                <w:color w:val="000000"/>
                <w:kern w:val="0"/>
                <w:sz w:val="20"/>
                <w:szCs w:val="20"/>
                <w:lang w:bidi="ar"/>
              </w:rPr>
              <w:t xml:space="preserve"> </w:t>
            </w:r>
            <w:r>
              <w:rPr>
                <w:rFonts w:ascii="宋体" w:hAnsi="宋体" w:cs="宋体"/>
                <w:color w:val="000000"/>
                <w:kern w:val="0"/>
                <w:sz w:val="20"/>
                <w:szCs w:val="20"/>
                <w:lang w:bidi="ar"/>
              </w:rPr>
              <w:t>15mL聚丙烯样品管（500个）</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COMPRESSOR PC70/24 220V 50HZ</w:t>
            </w:r>
            <w:r>
              <w:rPr>
                <w:rFonts w:hint="eastAsia" w:ascii="宋体" w:hAnsi="宋体" w:cs="宋体"/>
                <w:color w:val="000000"/>
                <w:kern w:val="0"/>
                <w:sz w:val="20"/>
                <w:szCs w:val="20"/>
                <w:lang w:bidi="ar"/>
              </w:rPr>
              <w:t xml:space="preserve"> 空气压缩机 (国内配置)</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Chiller 50 Hz</w:t>
            </w:r>
            <w:r>
              <w:rPr>
                <w:rFonts w:hint="eastAsia" w:ascii="宋体" w:hAnsi="宋体" w:cs="宋体"/>
                <w:color w:val="000000"/>
                <w:kern w:val="0"/>
                <w:sz w:val="20"/>
                <w:szCs w:val="20"/>
                <w:lang w:bidi="ar"/>
              </w:rPr>
              <w:t xml:space="preserve"> 循环冷却水系统（国内配置）</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电脑不低于以下配置：Lenovo:I 5 CPU/ G41 /4G DDR3 1066/1TB/DVD/WIN 10 PRO/声卡/集成千兆网卡/集成显卡/抗菌防水键盘/20寸宽屏液晶显示器</w:t>
            </w:r>
            <w:r>
              <w:rPr>
                <w:rFonts w:hint="eastAsia" w:ascii="宋体" w:hAnsi="宋体" w:cs="宋体"/>
                <w:color w:val="000000"/>
                <w:kern w:val="0"/>
                <w:sz w:val="20"/>
                <w:szCs w:val="20"/>
                <w:lang w:bidi="ar"/>
              </w:rPr>
              <w:t>；</w:t>
            </w:r>
          </w:p>
          <w:p>
            <w:pPr>
              <w:widowControl/>
              <w:numPr>
                <w:ilvl w:val="0"/>
                <w:numId w:val="11"/>
              </w:numPr>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打印机不低于以下配置，HP1020打印机</w:t>
            </w:r>
            <w:r>
              <w:rPr>
                <w:rFonts w:hint="eastAsia" w:ascii="宋体" w:hAnsi="宋体" w:cs="宋体"/>
                <w:color w:val="000000"/>
                <w:kern w:val="0"/>
                <w:sz w:val="20"/>
                <w:szCs w:val="20"/>
                <w:lang w:bidi="ar"/>
              </w:rPr>
              <w:t>。</w:t>
            </w:r>
            <w:r>
              <w:rPr>
                <w:rFonts w:ascii="宋体" w:hAnsi="宋体" w:cs="宋体"/>
                <w:color w:val="000000"/>
                <w:kern w:val="0"/>
                <w:sz w:val="20"/>
                <w:szCs w:val="20"/>
                <w:lang w:bidi="ar"/>
              </w:rPr>
              <w:t xml:space="preserve">                                                                                                                                                                                                             </w:t>
            </w:r>
          </w:p>
        </w:tc>
        <w:tc>
          <w:tcPr>
            <w:tcW w:w="355" w:type="dxa"/>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台</w:t>
            </w:r>
          </w:p>
        </w:tc>
        <w:tc>
          <w:tcPr>
            <w:tcW w:w="567" w:type="dxa"/>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850" w:type="dxa"/>
            <w:vAlign w:val="center"/>
          </w:tcPr>
          <w:p>
            <w:pPr>
              <w:widowControl/>
              <w:jc w:val="center"/>
              <w:textAlignment w:val="center"/>
              <w:rPr>
                <w:rFonts w:hint="eastAsia" w:ascii="宋体" w:hAnsi="宋体" w:cs="宋体"/>
                <w:color w:val="000000"/>
                <w:kern w:val="0"/>
                <w:sz w:val="20"/>
                <w:szCs w:val="20"/>
                <w:lang w:bidi="ar"/>
              </w:rPr>
            </w:pPr>
          </w:p>
        </w:tc>
        <w:tc>
          <w:tcPr>
            <w:tcW w:w="818" w:type="dxa"/>
            <w:vAlign w:val="center"/>
          </w:tcPr>
          <w:p>
            <w:pPr>
              <w:widowControl/>
              <w:jc w:val="center"/>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50" w:type="dxa"/>
            <w:gridSpan w:val="4"/>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合计</w:t>
            </w:r>
          </w:p>
        </w:tc>
        <w:tc>
          <w:tcPr>
            <w:tcW w:w="2590" w:type="dxa"/>
            <w:gridSpan w:val="4"/>
            <w:vAlign w:val="center"/>
          </w:tcPr>
          <w:p>
            <w:pPr>
              <w:widowControl/>
              <w:jc w:val="center"/>
              <w:textAlignment w:val="center"/>
              <w:rPr>
                <w:rFonts w:ascii="宋体" w:hAnsi="宋体" w:cs="宋体"/>
                <w:color w:val="000000"/>
                <w:kern w:val="0"/>
                <w:sz w:val="22"/>
                <w:szCs w:val="22"/>
                <w:lang w:bidi="ar"/>
              </w:rPr>
            </w:pPr>
            <w:bookmarkStart w:id="1" w:name="_GoBack"/>
            <w:bookmarkEnd w:id="1"/>
          </w:p>
        </w:tc>
      </w:tr>
    </w:tbl>
    <w:p>
      <w:pPr>
        <w:tabs>
          <w:tab w:val="left" w:pos="1800"/>
        </w:tabs>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2"/>
        </w:numPr>
        <w:spacing w:line="360" w:lineRule="auto"/>
        <w:rPr>
          <w:rFonts w:ascii="宋体" w:hAnsi="宋体" w:cs="宋体"/>
        </w:rPr>
      </w:pPr>
      <w:r>
        <w:rPr>
          <w:rFonts w:hint="eastAsia" w:ascii="宋体" w:hAnsi="宋体" w:cs="宋体"/>
        </w:rPr>
        <w:t>投标承诺书；</w:t>
      </w:r>
    </w:p>
    <w:p>
      <w:pPr>
        <w:numPr>
          <w:ilvl w:val="0"/>
          <w:numId w:val="12"/>
        </w:numPr>
        <w:spacing w:line="360" w:lineRule="auto"/>
        <w:rPr>
          <w:rFonts w:ascii="宋体" w:hAnsi="宋体" w:cs="宋体"/>
        </w:rPr>
      </w:pPr>
      <w:r>
        <w:rPr>
          <w:rFonts w:hint="eastAsia" w:ascii="宋体" w:hAnsi="宋体" w:cs="宋体"/>
        </w:rPr>
        <w:t>商务技术条款偏离表；</w:t>
      </w:r>
    </w:p>
    <w:p>
      <w:pPr>
        <w:numPr>
          <w:ilvl w:val="0"/>
          <w:numId w:val="12"/>
        </w:numPr>
        <w:spacing w:line="360" w:lineRule="auto"/>
        <w:rPr>
          <w:rFonts w:ascii="宋体" w:hAnsi="宋体" w:cs="宋体"/>
        </w:rPr>
      </w:pPr>
      <w:r>
        <w:rPr>
          <w:rFonts w:hint="eastAsia" w:ascii="宋体" w:hAnsi="宋体" w:cs="宋体"/>
        </w:rPr>
        <w:t>报价总表及报价明细表；</w:t>
      </w:r>
    </w:p>
    <w:p>
      <w:pPr>
        <w:numPr>
          <w:ilvl w:val="0"/>
          <w:numId w:val="12"/>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2"/>
        </w:numPr>
        <w:spacing w:line="360" w:lineRule="auto"/>
        <w:rPr>
          <w:rFonts w:ascii="宋体" w:hAnsi="宋体" w:cs="宋体"/>
        </w:rPr>
      </w:pPr>
      <w:r>
        <w:rPr>
          <w:rFonts w:hint="eastAsia" w:ascii="宋体" w:hAnsi="宋体" w:cs="宋体"/>
        </w:rPr>
        <w:t>货物详细设计方案及交货期；</w:t>
      </w:r>
    </w:p>
    <w:p>
      <w:pPr>
        <w:numPr>
          <w:ilvl w:val="0"/>
          <w:numId w:val="12"/>
        </w:numPr>
        <w:spacing w:line="360" w:lineRule="auto"/>
        <w:rPr>
          <w:rFonts w:ascii="宋体" w:hAnsi="宋体" w:cs="宋体"/>
        </w:rPr>
      </w:pPr>
      <w:r>
        <w:rPr>
          <w:rFonts w:hint="eastAsia" w:ascii="宋体" w:hAnsi="宋体" w:cs="宋体"/>
        </w:rPr>
        <w:t>付款方式；</w:t>
      </w:r>
    </w:p>
    <w:p>
      <w:pPr>
        <w:numPr>
          <w:ilvl w:val="0"/>
          <w:numId w:val="12"/>
        </w:numPr>
        <w:spacing w:line="360" w:lineRule="auto"/>
        <w:rPr>
          <w:rFonts w:ascii="宋体" w:hAnsi="宋体" w:cs="宋体"/>
        </w:rPr>
      </w:pPr>
      <w:r>
        <w:rPr>
          <w:rFonts w:hint="eastAsia" w:ascii="宋体" w:hAnsi="宋体" w:cs="宋体"/>
        </w:rPr>
        <w:t>售后服务措施及承诺；</w:t>
      </w:r>
    </w:p>
    <w:p>
      <w:pPr>
        <w:numPr>
          <w:ilvl w:val="0"/>
          <w:numId w:val="12"/>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2"/>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after="0"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48"/>
          <w:szCs w:val="48"/>
        </w:rPr>
        <w:t>采购合同</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                                          合同编号:DGCY</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设备（详见附件《设备配置一览表》），及相关设备的配套安装、调试和人员培训培训。</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　</w:t>
      </w:r>
      <w:r>
        <w:rPr>
          <w:rFonts w:hint="eastAsia" w:asciiTheme="minorEastAsia" w:hAnsiTheme="minorEastAsia" w:eastAsiaTheme="minorEastAsia"/>
          <w:b/>
          <w:sz w:val="24"/>
          <w:szCs w:val="24"/>
        </w:rPr>
        <w:t>元（人民币大写</w:t>
      </w:r>
      <w:r>
        <w:rPr>
          <w:rFonts w:hint="eastAsia" w:asciiTheme="minorEastAsia" w:hAnsiTheme="minorEastAsia" w:eastAsiaTheme="minorEastAsia"/>
          <w:b/>
          <w:sz w:val="24"/>
          <w:szCs w:val="24"/>
          <w:lang w:eastAsia="zh-CN"/>
        </w:rPr>
        <w:t>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。本报价依据附件《设备配置一览表》计算得来。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3.1项目验收合格后支付总价款的</w:t>
      </w:r>
      <w:r>
        <w:rPr>
          <w:rFonts w:hint="eastAsia" w:asciiTheme="minorEastAsia" w:hAnsiTheme="minorEastAsia" w:eastAsiaTheme="minorEastAsia"/>
          <w:sz w:val="24"/>
          <w:szCs w:val="24"/>
          <w:u w:val="single"/>
        </w:rPr>
        <w:t>95</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u w:val="single"/>
        </w:rPr>
        <w:t>三年</w:t>
      </w:r>
      <w:r>
        <w:rPr>
          <w:rFonts w:hint="eastAsia" w:asciiTheme="minorEastAsia" w:hAnsiTheme="minorEastAsia" w:eastAsiaTheme="minorEastAsia"/>
          <w:sz w:val="24"/>
          <w:szCs w:val="24"/>
        </w:rPr>
        <w:t>质保期满后支付总价款的</w:t>
      </w:r>
      <w:r>
        <w:rPr>
          <w:rFonts w:hint="eastAsia" w:asciiTheme="minorEastAsia" w:hAnsiTheme="minorEastAsia" w:eastAsiaTheme="minorEastAsia"/>
          <w:sz w:val="24"/>
          <w:szCs w:val="24"/>
          <w:u w:val="single"/>
        </w:rPr>
        <w:t>5</w:t>
      </w:r>
      <w:r>
        <w:rPr>
          <w:rFonts w:hint="eastAsia" w:asciiTheme="minorEastAsia" w:hAnsiTheme="minorEastAsia" w:eastAsiaTheme="minorEastAsia"/>
          <w:sz w:val="24"/>
          <w:szCs w:val="24"/>
        </w:rPr>
        <w:t>%，自付款条件成立之日乙方需向甲方出具增值税普通发票，甲方自收到发票之日起15个工作日内完成付款。</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　</w:t>
      </w:r>
      <w:r>
        <w:rPr>
          <w:rFonts w:hint="eastAsia" w:asciiTheme="minorEastAsia" w:hAnsiTheme="minorEastAsia" w:eastAsiaTheme="minorEastAsia"/>
          <w:b w:val="0"/>
          <w:bCs/>
          <w:sz w:val="24"/>
          <w:szCs w:val="24"/>
        </w:rPr>
        <w:t>元（人民币大写</w:t>
      </w:r>
      <w:r>
        <w:rPr>
          <w:rFonts w:hint="eastAsia" w:asciiTheme="minorEastAsia" w:hAnsiTheme="minorEastAsia" w:eastAsiaTheme="minorEastAsia"/>
          <w:b w:val="0"/>
          <w:bCs/>
          <w:sz w:val="24"/>
          <w:szCs w:val="24"/>
          <w:lang w:eastAsia="zh-CN"/>
        </w:rPr>
        <w:t>　</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eastAsia" w:asciiTheme="minorEastAsia" w:hAnsiTheme="minorEastAsia" w:eastAsiaTheme="minorEastAsia"/>
          <w:b w:val="0"/>
          <w:bCs/>
          <w:sz w:val="24"/>
          <w:szCs w:val="24"/>
          <w:lang w:val="en-US" w:eastAsia="zh-CN"/>
        </w:rPr>
        <w:t>95%</w:t>
      </w:r>
      <w:r>
        <w:rPr>
          <w:rFonts w:hint="eastAsia" w:asciiTheme="minorEastAsia" w:hAnsiTheme="minorEastAsia" w:eastAsiaTheme="minorEastAsia"/>
          <w:b w:val="0"/>
          <w:bCs/>
          <w:sz w:val="24"/>
          <w:szCs w:val="24"/>
          <w:lang w:eastAsia="zh-CN"/>
        </w:rPr>
        <w:t>合同款项一同无息支付。</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乙方指定收款账户如下</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户名：</w:t>
      </w:r>
      <w:r>
        <w:rPr>
          <w:rFonts w:hint="eastAsia" w:asciiTheme="minorEastAsia" w:hAnsiTheme="minorEastAsia" w:eastAsiaTheme="minorEastAsia"/>
          <w:sz w:val="24"/>
          <w:szCs w:val="24"/>
          <w:lang w:eastAsia="zh-CN"/>
        </w:rPr>
        <w:t>　</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日前完成。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eastAsia="宋体"/>
          <w:sz w:val="24"/>
          <w:szCs w:val="24"/>
        </w:rPr>
        <w:t>乙方需重新整改直至甲方验收通过后方视为合格交付</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w:t>
      </w:r>
      <w:r>
        <w:rPr>
          <w:rFonts w:hint="eastAsia" w:asciiTheme="minorEastAsia" w:hAnsiTheme="minorEastAsia" w:eastAsiaTheme="minorEastAsia"/>
          <w:sz w:val="24"/>
          <w:szCs w:val="24"/>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E64F7DEC"/>
    <w:multiLevelType w:val="singleLevel"/>
    <w:tmpl w:val="E64F7DEC"/>
    <w:lvl w:ilvl="0" w:tentative="0">
      <w:start w:val="1"/>
      <w:numFmt w:val="decimal"/>
      <w:suff w:val="nothing"/>
      <w:lvlText w:val="%1、"/>
      <w:lvlJc w:val="left"/>
    </w:lvl>
  </w:abstractNum>
  <w:abstractNum w:abstractNumId="2">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4">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1651AEAF"/>
    <w:multiLevelType w:val="singleLevel"/>
    <w:tmpl w:val="1651AEAF"/>
    <w:lvl w:ilvl="0" w:tentative="0">
      <w:start w:val="1"/>
      <w:numFmt w:val="decimal"/>
      <w:suff w:val="nothing"/>
      <w:lvlText w:val="%1、"/>
      <w:lvlJc w:val="left"/>
    </w:lvl>
  </w:abstractNum>
  <w:abstractNum w:abstractNumId="8">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5"/>
  </w:num>
  <w:num w:numId="2">
    <w:abstractNumId w:val="0"/>
  </w:num>
  <w:num w:numId="3">
    <w:abstractNumId w:val="6"/>
    <w:lvlOverride w:ilvl="0">
      <w:startOverride w:val="1"/>
    </w:lvlOverride>
  </w:num>
  <w:num w:numId="4">
    <w:abstractNumId w:val="6"/>
    <w:lvlOverride w:ilvl="1">
      <w:startOverride w:val="1"/>
    </w:lvlOverride>
  </w:num>
  <w:num w:numId="5">
    <w:abstractNumId w:val="6"/>
    <w:lvlOverride w:ilvl="2">
      <w:startOverride w:val="1"/>
    </w:lvlOverride>
  </w:num>
  <w:num w:numId="6">
    <w:abstractNumId w:val="8"/>
  </w:num>
  <w:num w:numId="7">
    <w:abstractNumId w:val="2"/>
    <w:lvlOverride w:ilvl="0">
      <w:startOverride w:val="1"/>
    </w:lvlOverride>
  </w:num>
  <w:num w:numId="8">
    <w:abstractNumId w:val="2"/>
    <w:lvlOverride w:ilvl="2">
      <w:startOverride w:val="1"/>
    </w:lvlOverride>
  </w:num>
  <w:num w:numId="9">
    <w:abstractNumId w:val="4"/>
    <w:lvlOverride w:ilvl="0">
      <w:startOverride w:val="1"/>
    </w:lvlOverride>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97899"/>
    <w:rsid w:val="0ACC5DF5"/>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2004F6"/>
    <w:rsid w:val="26B4353F"/>
    <w:rsid w:val="26B43D6F"/>
    <w:rsid w:val="2BEC5448"/>
    <w:rsid w:val="2FE77792"/>
    <w:rsid w:val="30E102E9"/>
    <w:rsid w:val="31D908A4"/>
    <w:rsid w:val="339E3373"/>
    <w:rsid w:val="33AF39D2"/>
    <w:rsid w:val="3B5C2CE5"/>
    <w:rsid w:val="3BEA56AA"/>
    <w:rsid w:val="3C141BC3"/>
    <w:rsid w:val="3D1B6F9C"/>
    <w:rsid w:val="40B95CF2"/>
    <w:rsid w:val="42E07E8F"/>
    <w:rsid w:val="43A043C5"/>
    <w:rsid w:val="45806593"/>
    <w:rsid w:val="45F24C02"/>
    <w:rsid w:val="4C35695B"/>
    <w:rsid w:val="4CF06924"/>
    <w:rsid w:val="4D7E3925"/>
    <w:rsid w:val="4EB57E9D"/>
    <w:rsid w:val="4F040248"/>
    <w:rsid w:val="4F625365"/>
    <w:rsid w:val="4FC30E07"/>
    <w:rsid w:val="4FC95985"/>
    <w:rsid w:val="51921510"/>
    <w:rsid w:val="547E177A"/>
    <w:rsid w:val="5570735D"/>
    <w:rsid w:val="57D609A7"/>
    <w:rsid w:val="57D82FCF"/>
    <w:rsid w:val="57E8020C"/>
    <w:rsid w:val="587C6AF1"/>
    <w:rsid w:val="5A511A8B"/>
    <w:rsid w:val="5D6C4B4A"/>
    <w:rsid w:val="60BE20C2"/>
    <w:rsid w:val="616F095A"/>
    <w:rsid w:val="653F493C"/>
    <w:rsid w:val="66106083"/>
    <w:rsid w:val="66280C45"/>
    <w:rsid w:val="668A4F9B"/>
    <w:rsid w:val="686E02C5"/>
    <w:rsid w:val="694C42BE"/>
    <w:rsid w:val="6C0945E1"/>
    <w:rsid w:val="6D5E5A20"/>
    <w:rsid w:val="6E121278"/>
    <w:rsid w:val="6F8F1BD8"/>
    <w:rsid w:val="6FBE6DCB"/>
    <w:rsid w:val="705444BF"/>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1</TotalTime>
  <ScaleCrop>false</ScaleCrop>
  <LinksUpToDate>false</LinksUpToDate>
  <CharactersWithSpaces>9093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2020-12-10T07:19:41Z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_DocHome">
    <vt:r8>-1750864559</vt:r8>
  </property>
</Properties>
</file>