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仿宋" w:hAnsi="仿宋" w:eastAsia="仿宋"/>
          <w:color w:val="000000"/>
          <w:sz w:val="24"/>
          <w:highlight w:val="none"/>
        </w:rPr>
      </w:pPr>
      <w:bookmarkStart w:id="0" w:name="_GoBack"/>
    </w:p>
    <w:p>
      <w:pPr>
        <w:spacing w:line="300" w:lineRule="auto"/>
        <w:jc w:val="center"/>
        <w:rPr>
          <w:rFonts w:ascii="仿宋" w:hAnsi="仿宋" w:eastAsia="仿宋"/>
          <w:b/>
          <w:bCs/>
          <w:color w:val="000000"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bCs/>
          <w:color w:val="000000"/>
          <w:sz w:val="36"/>
          <w:szCs w:val="36"/>
          <w:highlight w:val="none"/>
        </w:rPr>
        <w:t>用户需求书</w:t>
      </w:r>
    </w:p>
    <w:p>
      <w:pPr>
        <w:spacing w:line="300" w:lineRule="auto"/>
        <w:rPr>
          <w:rFonts w:ascii="仿宋" w:hAnsi="仿宋" w:eastAsia="仿宋" w:cs="仿宋"/>
          <w:b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1、图书采购年限：</w:t>
      </w:r>
    </w:p>
    <w:p>
      <w:pPr>
        <w:pStyle w:val="11"/>
        <w:spacing w:line="300" w:lineRule="auto"/>
        <w:ind w:left="720" w:firstLine="0" w:firstLineChars="0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</w:rPr>
        <w:t>年限不限，符合我院图书馆藏需求的各类正版图书</w:t>
      </w:r>
      <w:r>
        <w:rPr>
          <w:rFonts w:hint="eastAsia" w:ascii="仿宋" w:hAnsi="仿宋" w:eastAsia="仿宋" w:cs="仿宋"/>
          <w:sz w:val="24"/>
          <w:highlight w:val="none"/>
        </w:rPr>
        <w:t>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图书供应商：1-2家。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</w:rPr>
        <w:t>采购总金额：400万元，总书籍数量任务40万册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折扣率上限为23%</w:t>
      </w:r>
    </w:p>
    <w:p>
      <w:pPr>
        <w:spacing w:line="300" w:lineRule="auto"/>
        <w:ind w:firstLine="360" w:firstLineChars="150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图书复本：</w:t>
      </w:r>
    </w:p>
    <w:p>
      <w:pPr>
        <w:spacing w:line="300" w:lineRule="auto"/>
        <w:ind w:firstLine="688" w:firstLineChars="287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与馆藏重复的图书（剔除往年已购买的其他年限图书），复本数为3-5本；</w:t>
      </w:r>
    </w:p>
    <w:p>
      <w:pPr>
        <w:spacing w:line="300" w:lineRule="auto"/>
        <w:ind w:firstLine="688" w:firstLineChars="287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与馆藏不重复的图书，复本数为3-8本。</w:t>
      </w:r>
    </w:p>
    <w:p>
      <w:pPr>
        <w:spacing w:line="300" w:lineRule="auto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4、图书加工：</w:t>
      </w:r>
    </w:p>
    <w:p>
      <w:pPr>
        <w:spacing w:line="300" w:lineRule="auto"/>
        <w:ind w:firstLine="480" w:firstLineChars="200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图书供应商为图书馆所采购的图书提供无偿深加工，加工按图书馆提供的要求进行，无论何时发现加工问题，供应商必须无条件加以改正。</w:t>
      </w:r>
    </w:p>
    <w:p>
      <w:pPr>
        <w:spacing w:line="300" w:lineRule="auto"/>
        <w:ind w:firstLine="480" w:firstLineChars="200"/>
        <w:rPr>
          <w:rFonts w:hint="eastAsia" w:ascii="仿宋" w:hAnsi="仿宋" w:eastAsia="仿宋" w:cs="仿宋"/>
          <w:color w:val="FF0000"/>
          <w:sz w:val="24"/>
          <w:highlight w:val="none"/>
        </w:rPr>
      </w:pPr>
      <w:r>
        <w:rPr>
          <w:rFonts w:hint="eastAsia" w:ascii="仿宋" w:hAnsi="仿宋" w:eastAsia="仿宋" w:cs="仿宋"/>
          <w:color w:val="FF0000"/>
          <w:sz w:val="24"/>
          <w:highlight w:val="none"/>
        </w:rPr>
        <w:t>与馆藏重复的图书（剔除往年已购买的其他年限图书），复本数为3-5本；与馆藏不重复的图书，复本数为3-8本，皆</w:t>
      </w:r>
      <w:r>
        <w:rPr>
          <w:rFonts w:hint="eastAsia" w:ascii="仿宋" w:hAnsi="仿宋" w:eastAsia="仿宋" w:cs="仿宋"/>
          <w:bCs/>
          <w:color w:val="FF0000"/>
          <w:sz w:val="24"/>
          <w:highlight w:val="none"/>
        </w:rPr>
        <w:t>粘贴16CM钴基可充消复合磁条</w:t>
      </w:r>
      <w:r>
        <w:rPr>
          <w:rFonts w:hint="eastAsia" w:ascii="仿宋" w:hAnsi="仿宋" w:eastAsia="仿宋" w:cs="仿宋"/>
          <w:color w:val="FF0000"/>
          <w:sz w:val="24"/>
          <w:highlight w:val="none"/>
        </w:rPr>
        <w:t xml:space="preserve">。 </w:t>
      </w:r>
    </w:p>
    <w:p>
      <w:pPr>
        <w:spacing w:line="300" w:lineRule="auto"/>
        <w:ind w:firstLine="480" w:firstLineChars="200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盖馆藏章两枚；贴条形码、书标、保护膜等；图书分类，按图书馆要求进行，避免同书异号；随书光盘，按照图书馆要求进行；图书加工不合格率不超过3‰。</w:t>
      </w:r>
    </w:p>
    <w:p>
      <w:pPr>
        <w:spacing w:line="300" w:lineRule="auto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5、图书质量：</w:t>
      </w:r>
    </w:p>
    <w:p>
      <w:pPr>
        <w:spacing w:line="300" w:lineRule="auto"/>
        <w:ind w:firstLine="480" w:firstLineChars="200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供应商提供图书必须是由国家正规出版社出版，不得提供盗版、缺页、污损、印刷模糊、装订不合格等不符合图书馆要求的图书。供应商采购的图书没有牵涉到版权、著作权等知识产权问题。如发现盗版，图书馆可无条件终止采购并处以盗版书价100倍的罚款，</w:t>
      </w:r>
      <w:r>
        <w:rPr>
          <w:rFonts w:hint="eastAsia" w:ascii="仿宋" w:hAnsi="仿宋" w:eastAsia="仿宋" w:cs="仿宋"/>
          <w:bCs/>
          <w:sz w:val="24"/>
          <w:highlight w:val="none"/>
        </w:rPr>
        <w:t>并由供货商承担由此造成的一切法律后果</w:t>
      </w:r>
      <w:r>
        <w:rPr>
          <w:rFonts w:hint="eastAsia" w:ascii="仿宋" w:hAnsi="仿宋" w:eastAsia="仿宋" w:cs="仿宋"/>
          <w:sz w:val="24"/>
          <w:highlight w:val="none"/>
        </w:rPr>
        <w:t>。图书馆有权根据供应商配货速度、图书质量、服务水平等调整各家供应商的采购额。</w:t>
      </w:r>
    </w:p>
    <w:p>
      <w:pPr>
        <w:spacing w:line="300" w:lineRule="auto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6、质保金：</w:t>
      </w:r>
    </w:p>
    <w:p>
      <w:pPr>
        <w:spacing w:line="300" w:lineRule="auto"/>
        <w:ind w:firstLine="570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highlight w:val="none"/>
        </w:rPr>
        <w:t>中标的供应商应缴纳</w:t>
      </w:r>
      <w:r>
        <w:rPr>
          <w:rFonts w:hint="eastAsia" w:ascii="仿宋" w:hAnsi="仿宋" w:eastAsia="仿宋" w:cs="仿宋"/>
          <w:b/>
          <w:sz w:val="24"/>
          <w:highlight w:val="none"/>
        </w:rPr>
        <w:t>叁万元的履约保证金</w:t>
      </w:r>
      <w:r>
        <w:rPr>
          <w:rFonts w:hint="eastAsia" w:ascii="仿宋" w:hAnsi="仿宋" w:eastAsia="仿宋" w:cs="仿宋"/>
          <w:sz w:val="24"/>
          <w:highlight w:val="none"/>
        </w:rPr>
        <w:t>。供应商按照合同要求完成供书任务后，我方退还其质保金；若供应商未如约提供图书采购加工等服务，图书馆有权拒绝退还保证金。</w:t>
      </w:r>
    </w:p>
    <w:p>
      <w:pPr>
        <w:spacing w:line="300" w:lineRule="auto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7、图书供应商资质：</w:t>
      </w:r>
    </w:p>
    <w:p>
      <w:pPr>
        <w:spacing w:line="300" w:lineRule="auto"/>
        <w:ind w:firstLine="480" w:firstLineChars="200"/>
        <w:rPr>
          <w:rFonts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图书供应商应为成熟的高校图书馆图书采购供应商，具备高校图书馆图书供应成功合作经验。供应商应近二年内有广东省内至少4家且80万元以上的高校供货经验，且用户反映良好，需提供第三方验收凭证。图书供应商同时须提供科学出版社、机械工业出版社、清华大学出版社、电子工业出版社、人民邮电出版社、人民教育出版社、高等教育出版社、中国法制出版社、中国财政经济出版社、中国环境科学出版社等60家以上主要出版社购销合同或授权委托书复印件（原件备查）。</w:t>
      </w:r>
      <w:r>
        <w:rPr>
          <w:rFonts w:hint="eastAsia" w:ascii="仿宋" w:hAnsi="仿宋" w:eastAsia="仿宋" w:cs="仿宋"/>
          <w:bCs/>
          <w:sz w:val="24"/>
          <w:highlight w:val="none"/>
        </w:rPr>
        <w:t>投标人必须拥有面积不少于2000平方米的经营场所，（以投标人提供的正式租赁合同（租赁期不少于两年）或产权证明为评审依据，原件备查。）</w:t>
      </w:r>
    </w:p>
    <w:p>
      <w:pPr>
        <w:spacing w:line="300" w:lineRule="auto"/>
        <w:rPr>
          <w:rFonts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highlight w:val="none"/>
        </w:rPr>
        <w:t>8、供应商必须保证所供的图书为正版书，不得搭配和追加任何非图书馆采购人员确认的图书品种和复本，</w:t>
      </w:r>
      <w:r>
        <w:rPr>
          <w:rFonts w:hint="eastAsia" w:ascii="仿宋" w:hAnsi="仿宋" w:eastAsia="仿宋" w:cs="仿宋"/>
          <w:sz w:val="24"/>
          <w:highlight w:val="none"/>
        </w:rPr>
        <w:t>无论何时发现上述现象，供应商必须无条件负责退换，且承担调换或退货而支付的实际费用</w:t>
      </w:r>
      <w:r>
        <w:rPr>
          <w:rFonts w:hint="eastAsia" w:ascii="仿宋" w:hAnsi="仿宋" w:eastAsia="仿宋" w:cs="仿宋"/>
          <w:bCs/>
          <w:sz w:val="24"/>
          <w:highlight w:val="none"/>
        </w:rPr>
        <w:t>。</w:t>
      </w:r>
    </w:p>
    <w:p>
      <w:pPr>
        <w:spacing w:line="300" w:lineRule="auto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9、图书采购合同价格为指定交货地点的到货价，包括：所有的运输费、税费、售后服务费，并提供CALIS标准的CNMARC格式数据及相关服务等； </w:t>
      </w:r>
    </w:p>
    <w:p>
      <w:pPr>
        <w:spacing w:line="300" w:lineRule="auto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10、交货时间：</w:t>
      </w:r>
    </w:p>
    <w:p>
      <w:pPr>
        <w:spacing w:line="300" w:lineRule="auto"/>
        <w:ind w:firstLine="480" w:firstLineChars="200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图书供应商保证订单图书1个月内到货，到货率90%以上。不能达到到货要求的，视为违约。对延期到货图书图书馆可单方面拒收。</w:t>
      </w:r>
    </w:p>
    <w:p>
      <w:pPr>
        <w:spacing w:line="300" w:lineRule="auto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11、到货标准：</w:t>
      </w:r>
    </w:p>
    <w:p>
      <w:pPr>
        <w:spacing w:line="300" w:lineRule="auto"/>
        <w:ind w:firstLine="480" w:firstLineChars="200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供应商在配送图书时，必须严格按照“同一种图书同一批到馆，并且必须放在同一个包内”，同时负责提供新到图书的总清单和分包清单。保证图书包装整齐，按图书馆要求免费送达指定书库，并搬卸到图书馆指定位置。无论购书量多少，供应商都应及时免费送货上门, 每批图书须提供一份图书总清单（计算出总种类、总册数、总码洋、折扣、总实洋），每包图书须提供一份图书分包清单(包括：包号、国际标准书号、书名、单价、复本、册数、折扣及总价)。总清单、分包清单中的包号要和所送图书包号一致。总清单采用三联单打印，第一联每个折横处需盖上公司印章。</w:t>
      </w:r>
    </w:p>
    <w:p>
      <w:pPr>
        <w:spacing w:line="300" w:lineRule="auto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12、图书馆在验收到货图书时，如发现有缺页、错装、污损、磁盘损坏、重书及不符合本科院校馆藏要求等问题，无论何时发现，供应商必须无条件负责退换，且承担调换或退货而支付的实际费用。</w:t>
      </w:r>
    </w:p>
    <w:p>
      <w:pPr>
        <w:spacing w:line="300" w:lineRule="auto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13、图书供应商为图书馆提供所征订图书的CALIS标准的MARC书目数据，并在征订截止日10天内图书的MARC书目数据在可能的基础上其著录字段要求为：000、010、101、102、105、106、200、205、210、215、225、300、306、307、312、314、330、305、306、320、416、500、510、517、600、606、690、701、702、710、711、712、801等字段（必备字段未列举），有检索意义的副书名、说明书名文字或相关字段的附注说明的，要求标准MARC数据著录；有并列题名者要求添加（510或517）。套书或多卷书要求整套著录，每单册一条数据。</w:t>
      </w:r>
    </w:p>
    <w:p>
      <w:pPr>
        <w:spacing w:line="300" w:lineRule="auto"/>
        <w:rPr>
          <w:rFonts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highlight w:val="none"/>
        </w:rPr>
        <w:t>14、</w:t>
      </w:r>
      <w:r>
        <w:rPr>
          <w:rFonts w:hint="eastAsia" w:ascii="仿宋" w:hAnsi="仿宋" w:eastAsia="仿宋" w:cs="仿宋"/>
          <w:sz w:val="24"/>
          <w:highlight w:val="none"/>
        </w:rPr>
        <w:t>下列与我院学科相关的出版社作为重点选书对象：中国环境科学出版社、科学出版社、化学工业出版社、机械工业出版社、清华大学出版社、北京大学出版社、中山大学出版社、高等教育出版社、电子工业出版社、外语教学与研究出版社、上海外语教育出版社、人民邮电出版社、人民美术出版社、中国法制出版社、法律出版社、纺织出版社、经济管理出版社、人民卫生出版社、人民军医出版社、第一军医大学出版社、法制出版社、中国建筑工业出版社、各985大学出版社；各大学出版社、各省人民出版社、商务印书馆、三联书店、中国青年出版社、各美术出版社、国防工业出版社、中国科学技术出版社；文学类图书以作家出版社、译林出版社、人民文学出版社、中华书局、上海古籍出版社、社会科学文献出版为主；经济管理类图书以经济科学出版社、经济管理出版社、中信出版社、中国经济出版社、中国财政经济出版社、中国金融出版社、立信会计出版社、企业管理出版社为主。</w:t>
      </w:r>
    </w:p>
    <w:p>
      <w:pPr>
        <w:spacing w:line="300" w:lineRule="auto"/>
        <w:rPr>
          <w:rFonts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highlight w:val="none"/>
        </w:rPr>
        <w:t>15、图书馆一般不收藏以下图书：幼儿读物、小学、初中、高中、中职中专、高职高专等非本科高校适用的书籍；单幅地图、挂图、无书脊图书、散页试卷、开本为64开的图书、价格超过码洋100元的图书、页数少于150页的图书；拒收任何内容荒诞、淫秽、反动的图书。</w:t>
      </w:r>
    </w:p>
    <w:p>
      <w:pPr>
        <w:spacing w:line="300" w:lineRule="auto"/>
        <w:rPr>
          <w:rFonts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highlight w:val="none"/>
        </w:rPr>
        <w:t xml:space="preserve">16、在图书订单提供、订单收取、送货、退货、结算等所有服务过程中，图书供应商均需有专人负责。供应商保证在收到图书馆图书订单的10个工作日内，提供CALIS标准的CNMARC格式数据，并及时反馈图书馆图书订购情况及最迟到货时间，以便图书馆及时进行处理。 </w:t>
      </w:r>
    </w:p>
    <w:p>
      <w:pPr>
        <w:spacing w:line="300" w:lineRule="auto"/>
        <w:rPr>
          <w:rFonts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highlight w:val="none"/>
        </w:rPr>
        <w:t>17、图书加工验收合格后，按照图书馆要求，由供应商无偿提供图书上架、倒架等服务。</w:t>
      </w:r>
    </w:p>
    <w:p>
      <w:pPr>
        <w:spacing w:line="300" w:lineRule="auto"/>
        <w:rPr>
          <w:rFonts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highlight w:val="none"/>
        </w:rPr>
        <w:t>18、采购时间计划表：</w:t>
      </w:r>
    </w:p>
    <w:tbl>
      <w:tblPr>
        <w:tblStyle w:val="7"/>
        <w:tblW w:w="9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4140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628" w:type="dxa"/>
          </w:tcPr>
          <w:p>
            <w:pPr>
              <w:spacing w:line="300" w:lineRule="auto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时间</w:t>
            </w:r>
          </w:p>
        </w:tc>
        <w:tc>
          <w:tcPr>
            <w:tcW w:w="4140" w:type="dxa"/>
          </w:tcPr>
          <w:p>
            <w:pPr>
              <w:spacing w:line="300" w:lineRule="auto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任务内容</w:t>
            </w:r>
          </w:p>
        </w:tc>
        <w:tc>
          <w:tcPr>
            <w:tcW w:w="2904" w:type="dxa"/>
          </w:tcPr>
          <w:p>
            <w:pPr>
              <w:spacing w:line="300" w:lineRule="auto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628" w:type="dxa"/>
          </w:tcPr>
          <w:p>
            <w:pPr>
              <w:spacing w:line="300" w:lineRule="auto"/>
              <w:rPr>
                <w:rFonts w:ascii="仿宋" w:hAnsi="仿宋" w:eastAsia="仿宋" w:cs="仿宋"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4"/>
                <w:highlight w:val="none"/>
              </w:rPr>
              <w:t>2020年8月31日前</w:t>
            </w:r>
          </w:p>
        </w:tc>
        <w:tc>
          <w:tcPr>
            <w:tcW w:w="4140" w:type="dxa"/>
          </w:tcPr>
          <w:p>
            <w:pPr>
              <w:spacing w:line="300" w:lineRule="auto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确定图书供应商、签订采购合同</w:t>
            </w:r>
          </w:p>
        </w:tc>
        <w:tc>
          <w:tcPr>
            <w:tcW w:w="2904" w:type="dxa"/>
          </w:tcPr>
          <w:p>
            <w:pPr>
              <w:spacing w:line="300" w:lineRule="auto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28" w:type="dxa"/>
          </w:tcPr>
          <w:p>
            <w:pPr>
              <w:spacing w:line="300" w:lineRule="auto"/>
              <w:rPr>
                <w:rFonts w:ascii="仿宋" w:hAnsi="仿宋" w:eastAsia="仿宋" w:cs="仿宋"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4"/>
                <w:highlight w:val="none"/>
              </w:rPr>
              <w:t>2020年9月1日至</w:t>
            </w:r>
          </w:p>
          <w:p>
            <w:pPr>
              <w:spacing w:line="300" w:lineRule="auto"/>
              <w:rPr>
                <w:rFonts w:ascii="仿宋" w:hAnsi="仿宋" w:eastAsia="仿宋" w:cs="仿宋"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4"/>
                <w:highlight w:val="none"/>
              </w:rPr>
              <w:t>2020年9月30日</w:t>
            </w:r>
          </w:p>
        </w:tc>
        <w:tc>
          <w:tcPr>
            <w:tcW w:w="4140" w:type="dxa"/>
          </w:tcPr>
          <w:p>
            <w:pPr>
              <w:spacing w:line="300" w:lineRule="auto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完成所有图书采购任务</w:t>
            </w:r>
          </w:p>
        </w:tc>
        <w:tc>
          <w:tcPr>
            <w:tcW w:w="2904" w:type="dxa"/>
          </w:tcPr>
          <w:p>
            <w:pPr>
              <w:spacing w:line="300" w:lineRule="auto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628" w:type="dxa"/>
          </w:tcPr>
          <w:p>
            <w:pPr>
              <w:spacing w:line="300" w:lineRule="auto"/>
              <w:rPr>
                <w:rFonts w:ascii="仿宋" w:hAnsi="仿宋" w:eastAsia="仿宋" w:cs="仿宋"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4"/>
                <w:highlight w:val="none"/>
              </w:rPr>
              <w:t>2020年10月31日前</w:t>
            </w:r>
          </w:p>
        </w:tc>
        <w:tc>
          <w:tcPr>
            <w:tcW w:w="4140" w:type="dxa"/>
          </w:tcPr>
          <w:p>
            <w:pPr>
              <w:spacing w:line="300" w:lineRule="auto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完成所有图书编目、加工、上架、验收工作</w:t>
            </w:r>
          </w:p>
        </w:tc>
        <w:tc>
          <w:tcPr>
            <w:tcW w:w="2904" w:type="dxa"/>
          </w:tcPr>
          <w:p>
            <w:pPr>
              <w:spacing w:line="300" w:lineRule="auto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628" w:type="dxa"/>
          </w:tcPr>
          <w:p>
            <w:pPr>
              <w:spacing w:line="300" w:lineRule="auto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2020年12月</w:t>
            </w:r>
          </w:p>
        </w:tc>
        <w:tc>
          <w:tcPr>
            <w:tcW w:w="4140" w:type="dxa"/>
          </w:tcPr>
          <w:p>
            <w:pPr>
              <w:spacing w:line="300" w:lineRule="auto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报账</w:t>
            </w:r>
          </w:p>
        </w:tc>
        <w:tc>
          <w:tcPr>
            <w:tcW w:w="2904" w:type="dxa"/>
          </w:tcPr>
          <w:p>
            <w:pPr>
              <w:spacing w:line="300" w:lineRule="auto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</w:tr>
    </w:tbl>
    <w:p>
      <w:pPr>
        <w:spacing w:line="300" w:lineRule="auto"/>
        <w:rPr>
          <w:rFonts w:ascii="仿宋" w:hAnsi="仿宋" w:eastAsia="仿宋" w:cs="仿宋"/>
          <w:b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b/>
          <w:sz w:val="22"/>
          <w:szCs w:val="22"/>
          <w:highlight w:val="none"/>
        </w:rPr>
        <w:t>注：该时间计划只可提前不做顺延。</w:t>
      </w:r>
    </w:p>
    <w:p>
      <w:pPr>
        <w:spacing w:line="300" w:lineRule="auto"/>
        <w:rPr>
          <w:rFonts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highlight w:val="none"/>
        </w:rPr>
        <w:t>19、投标单位保证所供图书为用户方所下订单图书，不得参杂非投标时所提供的书单书目，否则视作为书单信息做假，取消供货资格。</w:t>
      </w:r>
    </w:p>
    <w:p>
      <w:pPr>
        <w:spacing w:line="300" w:lineRule="auto"/>
        <w:rPr>
          <w:rFonts w:hint="eastAsia" w:ascii="仿宋" w:hAnsi="仿宋" w:eastAsia="仿宋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20、按照编目数据提供书目信息，书单字段格式模版如下：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984"/>
        <w:gridCol w:w="984"/>
        <w:gridCol w:w="7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I</w:t>
            </w:r>
            <w:r>
              <w:rPr>
                <w:rStyle w:val="13"/>
                <w:rFonts w:hint="default"/>
                <w:highlight w:val="none"/>
                <w:lang w:bidi="ar"/>
              </w:rPr>
              <w:t>SBN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题名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作者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出版社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价格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出版年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分类号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开本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页码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读者对象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内容简介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库存数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</w:tbl>
    <w:p>
      <w:pPr>
        <w:spacing w:line="300" w:lineRule="auto"/>
        <w:rPr>
          <w:rFonts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highlight w:val="none"/>
        </w:rPr>
        <w:t>21、书目要求：</w:t>
      </w:r>
    </w:p>
    <w:p>
      <w:pPr>
        <w:spacing w:line="360" w:lineRule="auto"/>
        <w:rPr>
          <w:rFonts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highlight w:val="none"/>
        </w:rPr>
        <w:t>（1）剔除：幼儿、小学、初中、高中、中职中专、高职高专等非本科高校适用的书籍；</w:t>
      </w:r>
    </w:p>
    <w:p>
      <w:pPr>
        <w:pStyle w:val="11"/>
        <w:spacing w:line="360" w:lineRule="auto"/>
        <w:ind w:left="359" w:leftChars="171" w:firstLine="240" w:firstLineChars="100"/>
        <w:rPr>
          <w:rFonts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highlight w:val="none"/>
        </w:rPr>
        <w:t>无书脊图书、散页试卷、单幅地图、挂图、开本为64开的图书；</w:t>
      </w:r>
    </w:p>
    <w:p>
      <w:pPr>
        <w:pStyle w:val="11"/>
        <w:spacing w:line="360" w:lineRule="auto"/>
        <w:ind w:firstLine="600" w:firstLineChars="250"/>
        <w:rPr>
          <w:rFonts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highlight w:val="none"/>
        </w:rPr>
        <w:t>单价超过100元的图书；</w:t>
      </w:r>
    </w:p>
    <w:p>
      <w:pPr>
        <w:pStyle w:val="11"/>
        <w:spacing w:line="360" w:lineRule="auto"/>
        <w:ind w:firstLine="600" w:firstLineChars="250"/>
        <w:rPr>
          <w:rFonts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highlight w:val="none"/>
        </w:rPr>
        <w:t>页码少于150页的图书；</w:t>
      </w:r>
    </w:p>
    <w:p>
      <w:pPr>
        <w:pStyle w:val="11"/>
        <w:spacing w:line="360" w:lineRule="auto"/>
        <w:ind w:left="359" w:leftChars="171" w:firstLine="240" w:firstLineChars="100"/>
        <w:rPr>
          <w:rFonts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highlight w:val="none"/>
        </w:rPr>
        <w:t>宗教类、内容荒诞、淫秽、反动的图书。</w:t>
      </w:r>
    </w:p>
    <w:p>
      <w:pPr>
        <w:spacing w:line="360" w:lineRule="auto"/>
        <w:rPr>
          <w:rFonts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highlight w:val="none"/>
        </w:rPr>
        <w:t>（2）提供本校专业相关书籍。（专业不相关书籍大致为：E军事，P天文学、地球科学，Q生物科学、R医药卫生、S农业科学、U交通运输、V航空、航天，可适当提供大众读物）；</w:t>
      </w:r>
    </w:p>
    <w:p>
      <w:pPr>
        <w:spacing w:line="360" w:lineRule="auto"/>
        <w:rPr>
          <w:rFonts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highlight w:val="none"/>
        </w:rPr>
        <w:t>（3）与往年已购置过的其他年限图书查重，并作剔除。</w:t>
      </w:r>
    </w:p>
    <w:p>
      <w:pPr>
        <w:spacing w:line="360" w:lineRule="auto"/>
        <w:rPr>
          <w:rFonts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highlight w:val="none"/>
        </w:rPr>
        <w:t>（4）将与馆藏重复的可供书目和不与馆藏重复的可供书目分别以excel表列出。其中，与馆藏重复的购买复本数为3-5本，与馆藏不重复的购买复本数为3-8本。</w:t>
      </w:r>
      <w:r>
        <w:rPr>
          <w:rFonts w:hint="eastAsia" w:ascii="仿宋" w:hAnsi="仿宋" w:eastAsia="仿宋" w:cs="仿宋"/>
          <w:bCs/>
          <w:sz w:val="24"/>
          <w:highlight w:val="none"/>
        </w:rPr>
        <w:br w:type="textWrapping"/>
      </w:r>
      <w:r>
        <w:rPr>
          <w:rFonts w:hint="eastAsia" w:ascii="仿宋" w:hAnsi="仿宋" w:eastAsia="仿宋" w:cs="仿宋"/>
          <w:bCs/>
          <w:sz w:val="24"/>
          <w:highlight w:val="none"/>
        </w:rPr>
        <w:t>（5）年份不限。</w:t>
      </w:r>
      <w:r>
        <w:rPr>
          <w:rFonts w:hint="eastAsia" w:ascii="仿宋" w:hAnsi="仿宋" w:eastAsia="仿宋" w:cs="仿宋"/>
          <w:bCs/>
          <w:sz w:val="24"/>
          <w:highlight w:val="none"/>
        </w:rPr>
        <w:br w:type="textWrapping"/>
      </w:r>
      <w:r>
        <w:rPr>
          <w:rFonts w:hint="eastAsia" w:ascii="仿宋" w:hAnsi="仿宋" w:eastAsia="仿宋" w:cs="仿宋"/>
          <w:bCs/>
          <w:sz w:val="24"/>
          <w:highlight w:val="none"/>
        </w:rPr>
        <w:t>（6）按编目数据提供书目信息，必须包含ISBN号、题名、作者、出版社、价格、出版日期、分类号、开本、页码、读者对象等。并列出库存数。</w:t>
      </w:r>
    </w:p>
    <w:bookmarkEnd w:id="0"/>
    <w:sectPr>
      <w:headerReference r:id="rId3" w:type="default"/>
      <w:pgSz w:w="11906" w:h="16838"/>
      <w:pgMar w:top="907" w:right="1021" w:bottom="907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5685"/>
        <w:tab w:val="clear" w:pos="8306"/>
      </w:tabs>
      <w:jc w:val="both"/>
    </w:pPr>
    <w:r>
      <w:rPr>
        <w:rFonts w:hint="eastAsia"/>
      </w:rPr>
      <w:drawing>
        <wp:inline distT="0" distB="0" distL="114300" distR="114300">
          <wp:extent cx="2499995" cy="362585"/>
          <wp:effectExtent l="0" t="0" r="14605" b="3175"/>
          <wp:docPr id="1" name="图片 1" descr="企业微信截图_15511609841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企业微信截图_1551160984155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9995" cy="362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CC0A0F"/>
    <w:multiLevelType w:val="singleLevel"/>
    <w:tmpl w:val="ADCC0A0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3A"/>
    <w:rsid w:val="0000582F"/>
    <w:rsid w:val="00005968"/>
    <w:rsid w:val="00005DBF"/>
    <w:rsid w:val="000110D6"/>
    <w:rsid w:val="000418AD"/>
    <w:rsid w:val="000419C7"/>
    <w:rsid w:val="000531CD"/>
    <w:rsid w:val="00055A19"/>
    <w:rsid w:val="00095B64"/>
    <w:rsid w:val="000A527F"/>
    <w:rsid w:val="000B449B"/>
    <w:rsid w:val="000C121B"/>
    <w:rsid w:val="000E2B22"/>
    <w:rsid w:val="000E393E"/>
    <w:rsid w:val="000E5940"/>
    <w:rsid w:val="000F092B"/>
    <w:rsid w:val="00110719"/>
    <w:rsid w:val="00110E74"/>
    <w:rsid w:val="00116A9E"/>
    <w:rsid w:val="00161675"/>
    <w:rsid w:val="001837A5"/>
    <w:rsid w:val="001C1960"/>
    <w:rsid w:val="001E3EA9"/>
    <w:rsid w:val="001F1E44"/>
    <w:rsid w:val="001F5C1E"/>
    <w:rsid w:val="00210324"/>
    <w:rsid w:val="002175E7"/>
    <w:rsid w:val="0023244B"/>
    <w:rsid w:val="0025617E"/>
    <w:rsid w:val="002566A8"/>
    <w:rsid w:val="002642C1"/>
    <w:rsid w:val="0029171C"/>
    <w:rsid w:val="002A7AF8"/>
    <w:rsid w:val="002D0FDE"/>
    <w:rsid w:val="002F699E"/>
    <w:rsid w:val="003223E2"/>
    <w:rsid w:val="003262BC"/>
    <w:rsid w:val="0036099C"/>
    <w:rsid w:val="00371D3F"/>
    <w:rsid w:val="003979EB"/>
    <w:rsid w:val="003A4F7B"/>
    <w:rsid w:val="003B3D83"/>
    <w:rsid w:val="003B79DD"/>
    <w:rsid w:val="003C0C9B"/>
    <w:rsid w:val="003C6DCC"/>
    <w:rsid w:val="003E0497"/>
    <w:rsid w:val="00420831"/>
    <w:rsid w:val="00426F4C"/>
    <w:rsid w:val="00462E55"/>
    <w:rsid w:val="00465708"/>
    <w:rsid w:val="004703CE"/>
    <w:rsid w:val="00481172"/>
    <w:rsid w:val="004A1187"/>
    <w:rsid w:val="004D44BE"/>
    <w:rsid w:val="004E1EFA"/>
    <w:rsid w:val="004E28BE"/>
    <w:rsid w:val="004E439B"/>
    <w:rsid w:val="00503287"/>
    <w:rsid w:val="00533C64"/>
    <w:rsid w:val="0054115C"/>
    <w:rsid w:val="00544939"/>
    <w:rsid w:val="00577A4A"/>
    <w:rsid w:val="005861BF"/>
    <w:rsid w:val="00597B99"/>
    <w:rsid w:val="005C039D"/>
    <w:rsid w:val="005D448C"/>
    <w:rsid w:val="005D7582"/>
    <w:rsid w:val="005E04EF"/>
    <w:rsid w:val="005E0732"/>
    <w:rsid w:val="005E6DC0"/>
    <w:rsid w:val="005F2A90"/>
    <w:rsid w:val="00602253"/>
    <w:rsid w:val="00614CE2"/>
    <w:rsid w:val="006267CA"/>
    <w:rsid w:val="00651766"/>
    <w:rsid w:val="00686B8E"/>
    <w:rsid w:val="00690004"/>
    <w:rsid w:val="006D235D"/>
    <w:rsid w:val="006D67EB"/>
    <w:rsid w:val="006F4A12"/>
    <w:rsid w:val="00700E52"/>
    <w:rsid w:val="00715410"/>
    <w:rsid w:val="00727819"/>
    <w:rsid w:val="00740AA2"/>
    <w:rsid w:val="007636F9"/>
    <w:rsid w:val="0079725B"/>
    <w:rsid w:val="007A4151"/>
    <w:rsid w:val="007A5F26"/>
    <w:rsid w:val="007E5FA8"/>
    <w:rsid w:val="007F0002"/>
    <w:rsid w:val="007F483A"/>
    <w:rsid w:val="0080541C"/>
    <w:rsid w:val="008228D6"/>
    <w:rsid w:val="00842D39"/>
    <w:rsid w:val="008623FC"/>
    <w:rsid w:val="00872D74"/>
    <w:rsid w:val="0087390F"/>
    <w:rsid w:val="0089174F"/>
    <w:rsid w:val="008B39BC"/>
    <w:rsid w:val="008C691C"/>
    <w:rsid w:val="008D1045"/>
    <w:rsid w:val="008D6664"/>
    <w:rsid w:val="008E3C5F"/>
    <w:rsid w:val="008E6FD5"/>
    <w:rsid w:val="00924686"/>
    <w:rsid w:val="00940ED2"/>
    <w:rsid w:val="00953391"/>
    <w:rsid w:val="0095415C"/>
    <w:rsid w:val="00962D5C"/>
    <w:rsid w:val="009654D0"/>
    <w:rsid w:val="009766E0"/>
    <w:rsid w:val="00981F3F"/>
    <w:rsid w:val="009908F1"/>
    <w:rsid w:val="00994765"/>
    <w:rsid w:val="009A1B96"/>
    <w:rsid w:val="009B2822"/>
    <w:rsid w:val="009F2244"/>
    <w:rsid w:val="00A07148"/>
    <w:rsid w:val="00A15AA8"/>
    <w:rsid w:val="00A261F1"/>
    <w:rsid w:val="00A72DBD"/>
    <w:rsid w:val="00A765CC"/>
    <w:rsid w:val="00A83B44"/>
    <w:rsid w:val="00AC17DA"/>
    <w:rsid w:val="00AC6F14"/>
    <w:rsid w:val="00AE5F6C"/>
    <w:rsid w:val="00AF0709"/>
    <w:rsid w:val="00AF4827"/>
    <w:rsid w:val="00AF72BA"/>
    <w:rsid w:val="00B01407"/>
    <w:rsid w:val="00B02477"/>
    <w:rsid w:val="00B055CA"/>
    <w:rsid w:val="00B13C3D"/>
    <w:rsid w:val="00B24D0F"/>
    <w:rsid w:val="00B27C5F"/>
    <w:rsid w:val="00B53AE1"/>
    <w:rsid w:val="00B5764D"/>
    <w:rsid w:val="00B909E2"/>
    <w:rsid w:val="00B956A5"/>
    <w:rsid w:val="00BA55DB"/>
    <w:rsid w:val="00BC76FF"/>
    <w:rsid w:val="00C02A55"/>
    <w:rsid w:val="00C26C1A"/>
    <w:rsid w:val="00C37AAE"/>
    <w:rsid w:val="00C51958"/>
    <w:rsid w:val="00C717C2"/>
    <w:rsid w:val="00C83A73"/>
    <w:rsid w:val="00C854BD"/>
    <w:rsid w:val="00CB1E34"/>
    <w:rsid w:val="00CB4BBE"/>
    <w:rsid w:val="00CD1A4E"/>
    <w:rsid w:val="00CF4660"/>
    <w:rsid w:val="00CF4946"/>
    <w:rsid w:val="00CF73F8"/>
    <w:rsid w:val="00D022A6"/>
    <w:rsid w:val="00D14131"/>
    <w:rsid w:val="00D36DCB"/>
    <w:rsid w:val="00D63023"/>
    <w:rsid w:val="00D75F58"/>
    <w:rsid w:val="00D82038"/>
    <w:rsid w:val="00D86291"/>
    <w:rsid w:val="00DA38DF"/>
    <w:rsid w:val="00DB449F"/>
    <w:rsid w:val="00DC70A6"/>
    <w:rsid w:val="00E216D9"/>
    <w:rsid w:val="00E248BA"/>
    <w:rsid w:val="00E265AA"/>
    <w:rsid w:val="00E338D4"/>
    <w:rsid w:val="00E353BC"/>
    <w:rsid w:val="00E456C7"/>
    <w:rsid w:val="00E7716D"/>
    <w:rsid w:val="00EB5D24"/>
    <w:rsid w:val="00F40CE1"/>
    <w:rsid w:val="00F719D8"/>
    <w:rsid w:val="00F7363A"/>
    <w:rsid w:val="00FA2FAA"/>
    <w:rsid w:val="00FC118D"/>
    <w:rsid w:val="00FE2065"/>
    <w:rsid w:val="0AE6216A"/>
    <w:rsid w:val="112C1E73"/>
    <w:rsid w:val="13FB061F"/>
    <w:rsid w:val="1C68557D"/>
    <w:rsid w:val="2B1253AC"/>
    <w:rsid w:val="2D3D702A"/>
    <w:rsid w:val="31067C44"/>
    <w:rsid w:val="36A04715"/>
    <w:rsid w:val="3A8537F9"/>
    <w:rsid w:val="3C0530BE"/>
    <w:rsid w:val="476465C7"/>
    <w:rsid w:val="524449B7"/>
    <w:rsid w:val="52634728"/>
    <w:rsid w:val="68824628"/>
    <w:rsid w:val="6D7D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next w:val="3"/>
    <w:link w:val="12"/>
    <w:qFormat/>
    <w:uiPriority w:val="0"/>
    <w:pPr>
      <w:ind w:left="100" w:leftChars="25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">
    <w:name w:val="日期右"/>
    <w:basedOn w:val="1"/>
    <w:next w:val="4"/>
    <w:qFormat/>
    <w:uiPriority w:val="0"/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alloon Text"/>
    <w:basedOn w:val="1"/>
    <w:link w:val="10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Char1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0">
    <w:name w:val="批注框文本 字符"/>
    <w:basedOn w:val="8"/>
    <w:link w:val="5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4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CE2F9A-B56F-485C-B699-13A6CA77A6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474</Words>
  <Characters>2702</Characters>
  <Lines>22</Lines>
  <Paragraphs>6</Paragraphs>
  <TotalTime>138</TotalTime>
  <ScaleCrop>false</ScaleCrop>
  <LinksUpToDate>false</LinksUpToDate>
  <CharactersWithSpaces>3170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2016-10-08T01:33:00Z</dcterms:created>
  <dc:creator>Administrator</dc:creator>
  <cp:lastModifiedBy>xieyan</cp:lastModifiedBy>
  <cp:lastPrinted>2020-05-15T03:08:00Z</cp:lastPrinted>
  <dcterms:modified xsi:type="dcterms:W3CDTF">2020-08-05T02:23:06Z</dcterms:modified>
  <dc:title>呈：</dc:title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