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textAlignment w:val="center"/>
        <w:rPr>
          <w:rFonts w:hint="eastAsia" w:ascii="华文细黑" w:hAnsi="华文细黑" w:eastAsia="华文细黑"/>
          <w:b/>
          <w:sz w:val="36"/>
          <w:szCs w:val="28"/>
          <w:shd w:val="clear" w:color="auto" w:fill="FFFFFF"/>
          <w:lang w:val="en-US" w:eastAsia="zh-CN"/>
        </w:rPr>
      </w:pPr>
      <w:bookmarkStart w:id="0" w:name="_Toc306010131"/>
      <w:bookmarkStart w:id="1" w:name="_Toc503174306"/>
      <w:r>
        <w:rPr>
          <w:rFonts w:hint="eastAsia" w:ascii="华文细黑" w:hAnsi="华文细黑" w:eastAsia="华文细黑"/>
          <w:b/>
          <w:sz w:val="36"/>
          <w:szCs w:val="28"/>
          <w:shd w:val="clear" w:color="auto" w:fill="FFFFFF"/>
          <w:lang w:val="en-US" w:eastAsia="zh-CN"/>
        </w:rPr>
        <w:t>项目需求：</w:t>
      </w:r>
    </w:p>
    <w:p>
      <w:pPr>
        <w:pStyle w:val="4"/>
        <w:numPr>
          <w:ilvl w:val="0"/>
          <w:numId w:val="0"/>
        </w:numPr>
        <w:tabs>
          <w:tab w:val="left" w:pos="420"/>
        </w:tabs>
        <w:spacing w:line="360" w:lineRule="auto"/>
        <w:ind w:firstLine="472" w:firstLineChars="196"/>
      </w:pPr>
      <w:r>
        <w:rPr>
          <w:rFonts w:hint="eastAsia"/>
        </w:rPr>
        <w:t>一、项目背景</w:t>
      </w:r>
      <w:bookmarkEnd w:id="0"/>
      <w:bookmarkEnd w:id="1"/>
      <w:bookmarkStart w:id="24" w:name="_GoBack"/>
      <w:bookmarkEnd w:id="24"/>
    </w:p>
    <w:p>
      <w:pPr>
        <w:widowControl/>
        <w:shd w:val="clear" w:color="auto" w:fill="FFFFFF"/>
        <w:spacing w:beforeLines="50" w:afterLines="50" w:line="360" w:lineRule="auto"/>
        <w:ind w:firstLine="525" w:firstLineChars="250"/>
        <w:rPr>
          <w:iCs/>
          <w:sz w:val="21"/>
        </w:rPr>
      </w:pPr>
      <w:bookmarkStart w:id="2" w:name="_Toc503174307"/>
      <w:bookmarkStart w:id="3" w:name="_Toc306010132"/>
      <w:r>
        <w:rPr>
          <w:rFonts w:hint="eastAsia"/>
          <w:iCs/>
          <w:sz w:val="21"/>
        </w:rPr>
        <w:t>教学工作考核主要指教学单位、专任教师、秘书绩效考核工作中所涉及到的教学工作相关内容的考核。各项考核包含数据项目多，且计算工作量极大。为更加客观、公正、快速地统计分析教学工作数据，规范教学过程数据管理，有效完成上述各类绩效考核工作，进一步保证教职工奖金发放、薪资晋级、职称评定等工作顺利开展，现急需建设教学工作考核系统。</w:t>
      </w:r>
      <w:bookmarkEnd w:id="2"/>
      <w:bookmarkEnd w:id="3"/>
    </w:p>
    <w:p>
      <w:pPr>
        <w:pStyle w:val="4"/>
        <w:numPr>
          <w:ilvl w:val="0"/>
          <w:numId w:val="0"/>
        </w:numPr>
        <w:tabs>
          <w:tab w:val="left" w:pos="420"/>
        </w:tabs>
        <w:spacing w:line="360" w:lineRule="auto"/>
        <w:ind w:firstLine="517" w:firstLineChars="245"/>
      </w:pPr>
      <w:r>
        <w:rPr>
          <w:rFonts w:hint="eastAsia"/>
          <w:iCs/>
          <w:sz w:val="21"/>
        </w:rPr>
        <w:t>二、</w:t>
      </w:r>
      <w:r>
        <w:rPr>
          <w:rFonts w:hint="eastAsia"/>
        </w:rPr>
        <w:t>项目依据</w:t>
      </w:r>
    </w:p>
    <w:p>
      <w:pPr>
        <w:tabs>
          <w:tab w:val="left" w:pos="465"/>
        </w:tabs>
        <w:spacing w:line="360" w:lineRule="auto"/>
        <w:ind w:left="105"/>
        <w:rPr>
          <w:iCs/>
          <w:sz w:val="21"/>
        </w:rPr>
      </w:pPr>
      <w:r>
        <w:rPr>
          <w:iCs/>
          <w:sz w:val="21"/>
        </w:rPr>
        <w:t>1.</w:t>
      </w:r>
      <w:r>
        <w:rPr>
          <w:rFonts w:hint="eastAsia"/>
          <w:iCs/>
          <w:sz w:val="21"/>
        </w:rPr>
        <w:t>《东莞理工学院城市学院教学工作量及课时酬金计算办法（试行）》及实施细则</w:t>
      </w:r>
    </w:p>
    <w:p>
      <w:pPr>
        <w:tabs>
          <w:tab w:val="left" w:pos="465"/>
        </w:tabs>
        <w:spacing w:line="360" w:lineRule="auto"/>
        <w:ind w:left="105"/>
        <w:rPr>
          <w:iCs/>
          <w:sz w:val="21"/>
        </w:rPr>
      </w:pPr>
      <w:r>
        <w:rPr>
          <w:iCs/>
          <w:sz w:val="21"/>
        </w:rPr>
        <w:t>2.</w:t>
      </w:r>
      <w:r>
        <w:rPr>
          <w:rFonts w:hint="eastAsia"/>
          <w:iCs/>
          <w:sz w:val="21"/>
        </w:rPr>
        <w:t>《东莞理工学院城市学院教学服务工作管理办法（试行）》及实施细则</w:t>
      </w:r>
    </w:p>
    <w:p>
      <w:pPr>
        <w:tabs>
          <w:tab w:val="left" w:pos="465"/>
        </w:tabs>
        <w:spacing w:line="360" w:lineRule="auto"/>
        <w:ind w:left="105"/>
        <w:rPr>
          <w:iCs/>
          <w:sz w:val="21"/>
        </w:rPr>
      </w:pPr>
      <w:r>
        <w:rPr>
          <w:iCs/>
          <w:sz w:val="21"/>
        </w:rPr>
        <w:t>3.</w:t>
      </w:r>
      <w:r>
        <w:rPr>
          <w:rFonts w:hint="eastAsia"/>
          <w:iCs/>
          <w:sz w:val="21"/>
        </w:rPr>
        <w:t>《东莞理工学院城市学院专任教师绩效考核实施办法（试行）》</w:t>
      </w:r>
    </w:p>
    <w:p>
      <w:pPr>
        <w:tabs>
          <w:tab w:val="left" w:pos="465"/>
        </w:tabs>
        <w:spacing w:line="360" w:lineRule="auto"/>
        <w:ind w:left="105"/>
        <w:rPr>
          <w:iCs/>
          <w:sz w:val="21"/>
        </w:rPr>
      </w:pPr>
      <w:r>
        <w:rPr>
          <w:iCs/>
          <w:sz w:val="21"/>
        </w:rPr>
        <w:t>4.</w:t>
      </w:r>
      <w:r>
        <w:rPr>
          <w:rFonts w:hint="eastAsia"/>
          <w:iCs/>
          <w:sz w:val="21"/>
        </w:rPr>
        <w:t xml:space="preserve"> 《东莞理工学院城市学院秘书绩效考核实施办法（试行）》</w:t>
      </w:r>
    </w:p>
    <w:p>
      <w:pPr>
        <w:tabs>
          <w:tab w:val="left" w:pos="465"/>
        </w:tabs>
        <w:spacing w:line="360" w:lineRule="auto"/>
        <w:ind w:left="105"/>
        <w:rPr>
          <w:iCs/>
          <w:sz w:val="21"/>
        </w:rPr>
      </w:pPr>
      <w:r>
        <w:rPr>
          <w:iCs/>
          <w:sz w:val="21"/>
        </w:rPr>
        <w:t>5.</w:t>
      </w:r>
      <w:r>
        <w:rPr>
          <w:rFonts w:hint="eastAsia"/>
          <w:iCs/>
          <w:sz w:val="21"/>
        </w:rPr>
        <w:t xml:space="preserve"> 《东莞理工学院城市学院教学单位绩效考核实施办法（试行）》</w:t>
      </w:r>
    </w:p>
    <w:p>
      <w:pPr>
        <w:pStyle w:val="4"/>
        <w:numPr>
          <w:ilvl w:val="0"/>
          <w:numId w:val="0"/>
        </w:numPr>
        <w:tabs>
          <w:tab w:val="left" w:pos="420"/>
        </w:tabs>
        <w:spacing w:line="360" w:lineRule="auto"/>
        <w:ind w:firstLine="413" w:firstLineChars="196"/>
      </w:pPr>
      <w:r>
        <w:rPr>
          <w:iCs/>
          <w:sz w:val="21"/>
        </w:rPr>
        <w:t xml:space="preserve"> </w:t>
      </w:r>
      <w:r>
        <w:rPr>
          <w:rFonts w:hint="eastAsia"/>
          <w:iCs/>
          <w:sz w:val="21"/>
        </w:rPr>
        <w:t>三、</w:t>
      </w:r>
      <w:r>
        <w:rPr>
          <w:rFonts w:hint="eastAsia"/>
        </w:rPr>
        <w:t>项目需求总体概述</w:t>
      </w:r>
    </w:p>
    <w:p>
      <w:pPr>
        <w:pStyle w:val="4"/>
        <w:numPr>
          <w:ilvl w:val="0"/>
          <w:numId w:val="0"/>
        </w:numPr>
        <w:tabs>
          <w:tab w:val="left" w:pos="420"/>
        </w:tabs>
        <w:spacing w:line="360" w:lineRule="auto"/>
        <w:ind w:firstLine="354" w:firstLineChars="147"/>
      </w:pPr>
      <w:bookmarkStart w:id="4" w:name="_Toc306010136"/>
      <w:bookmarkStart w:id="5" w:name="_Toc503174312"/>
      <w:r>
        <w:rPr>
          <w:rFonts w:hint="eastAsia"/>
        </w:rPr>
        <w:t>（一）软件标识</w:t>
      </w:r>
      <w:bookmarkEnd w:id="4"/>
      <w:bookmarkEnd w:id="5"/>
    </w:p>
    <w:p>
      <w:pPr>
        <w:pStyle w:val="14"/>
        <w:spacing w:line="360" w:lineRule="auto"/>
        <w:ind w:firstLine="525" w:firstLineChars="250"/>
        <w:rPr>
          <w:sz w:val="21"/>
        </w:rPr>
      </w:pPr>
      <w:r>
        <w:rPr>
          <w:rFonts w:hint="eastAsia"/>
          <w:sz w:val="21"/>
        </w:rPr>
        <w:t xml:space="preserve">《东莞理工学院城市学院教学工作考核系统》 </w:t>
      </w:r>
      <w:bookmarkStart w:id="6" w:name="_Toc306010137"/>
      <w:bookmarkStart w:id="7" w:name="_Toc503174313"/>
    </w:p>
    <w:p>
      <w:pPr>
        <w:pStyle w:val="4"/>
        <w:numPr>
          <w:ilvl w:val="0"/>
          <w:numId w:val="2"/>
        </w:numPr>
        <w:tabs>
          <w:tab w:val="left" w:pos="420"/>
        </w:tabs>
        <w:spacing w:line="360" w:lineRule="auto"/>
      </w:pPr>
      <w:r>
        <w:rPr>
          <w:rFonts w:hint="eastAsia"/>
        </w:rPr>
        <w:t>软件需求描述</w:t>
      </w:r>
      <w:bookmarkEnd w:id="6"/>
      <w:bookmarkEnd w:id="7"/>
    </w:p>
    <w:p>
      <w:pPr>
        <w:pStyle w:val="4"/>
        <w:numPr>
          <w:ilvl w:val="0"/>
          <w:numId w:val="0"/>
        </w:numPr>
        <w:tabs>
          <w:tab w:val="left" w:pos="420"/>
        </w:tabs>
        <w:spacing w:line="360" w:lineRule="auto"/>
        <w:ind w:left="354" w:leftChars="177" w:firstLine="236" w:firstLineChars="98"/>
      </w:pPr>
      <w:r>
        <w:t>1.</w:t>
      </w:r>
      <w:bookmarkStart w:id="8" w:name="_Toc306010138"/>
      <w:bookmarkStart w:id="9" w:name="_Toc503174314"/>
      <w:r>
        <w:t xml:space="preserve"> </w:t>
      </w:r>
      <w:r>
        <w:rPr>
          <w:rFonts w:hint="eastAsia"/>
        </w:rPr>
        <w:t>系统需求属性</w:t>
      </w:r>
      <w:bookmarkEnd w:id="8"/>
      <w:bookmarkEnd w:id="9"/>
    </w:p>
    <w:p>
      <w:pPr>
        <w:pStyle w:val="3"/>
        <w:spacing w:line="360" w:lineRule="auto"/>
        <w:ind w:firstLine="420" w:firstLineChars="200"/>
        <w:rPr>
          <w:iCs/>
          <w:sz w:val="21"/>
        </w:rPr>
      </w:pPr>
      <w:r>
        <w:rPr>
          <w:rFonts w:hint="eastAsia"/>
          <w:iCs/>
          <w:sz w:val="21"/>
        </w:rPr>
        <w:t>《东莞理工学院城市学院教学工作考核系统》遵循学院信息化平台统一的接口技术规范，明确了写入、读取和查询三项操作。《东莞理工学院城市学院教学工作考核系统》遵循学院信息化平台统一的接口技术规范，明确了写入、读取和查询三项操作。；</w:t>
      </w:r>
    </w:p>
    <w:p>
      <w:pPr>
        <w:pStyle w:val="3"/>
        <w:spacing w:line="360" w:lineRule="auto"/>
        <w:rPr>
          <w:iCs/>
          <w:sz w:val="21"/>
        </w:rPr>
      </w:pPr>
      <w:r>
        <w:rPr>
          <w:iCs/>
          <w:sz w:val="21"/>
        </w:rPr>
        <w:tab/>
      </w:r>
      <w:r>
        <w:rPr>
          <w:rFonts w:hint="eastAsia"/>
          <w:iCs/>
          <w:sz w:val="21"/>
        </w:rPr>
        <w:t>通过实现统一的接口技术规范，使所有应用软件可以实施统一的管理，使应用软件之间可以进行数据交互；</w:t>
      </w:r>
    </w:p>
    <w:p>
      <w:pPr>
        <w:pStyle w:val="3"/>
        <w:spacing w:line="360" w:lineRule="auto"/>
        <w:rPr>
          <w:iCs/>
          <w:sz w:val="21"/>
        </w:rPr>
      </w:pPr>
      <w:r>
        <w:rPr>
          <w:iCs/>
          <w:sz w:val="21"/>
        </w:rPr>
        <w:tab/>
      </w:r>
      <w:r>
        <w:rPr>
          <w:rFonts w:hint="eastAsia"/>
          <w:iCs/>
          <w:sz w:val="21"/>
        </w:rPr>
        <w:t>通过使用特定的</w:t>
      </w:r>
      <w:r>
        <w:rPr>
          <w:iCs/>
          <w:sz w:val="21"/>
        </w:rPr>
        <w:t>XML</w:t>
      </w:r>
      <w:r>
        <w:rPr>
          <w:rFonts w:hint="eastAsia"/>
          <w:iCs/>
          <w:sz w:val="21"/>
        </w:rPr>
        <w:t>格式设计的数据规范，使应用软件能够开放数据资源，做到数据内容、服务方式和实现技术的无关性，增强了应用软件开发和组合的灵活性；</w:t>
      </w:r>
    </w:p>
    <w:p>
      <w:pPr>
        <w:pStyle w:val="3"/>
        <w:spacing w:line="360" w:lineRule="auto"/>
        <w:rPr>
          <w:iCs/>
          <w:sz w:val="21"/>
        </w:rPr>
      </w:pPr>
      <w:r>
        <w:rPr>
          <w:iCs/>
          <w:sz w:val="21"/>
        </w:rPr>
        <w:tab/>
      </w:r>
      <w:r>
        <w:rPr>
          <w:rFonts w:hint="eastAsia"/>
          <w:iCs/>
          <w:sz w:val="21"/>
        </w:rPr>
        <w:t>通过应用统一的组织结构管理要求执行身份验证和角色分配操作，降低了应用软件建设的复杂性，简化了用户身份的管理工作。</w:t>
      </w:r>
    </w:p>
    <w:p>
      <w:pPr>
        <w:pStyle w:val="3"/>
        <w:spacing w:line="360" w:lineRule="auto"/>
        <w:ind w:left="525" w:hanging="525" w:hangingChars="250"/>
        <w:rPr>
          <w:iCs/>
          <w:sz w:val="21"/>
        </w:rPr>
      </w:pPr>
      <w:r>
        <w:rPr>
          <w:iCs/>
          <w:sz w:val="21"/>
        </w:rPr>
        <w:tab/>
      </w:r>
      <w:r>
        <w:rPr>
          <w:rFonts w:hint="eastAsia"/>
          <w:iCs/>
          <w:sz w:val="21"/>
        </w:rPr>
        <w:t>通过实现数据流转功能实现不同应用软件之间的数据共享，实现办事信息通知的发送。</w:t>
      </w:r>
      <w:bookmarkStart w:id="10" w:name="_Toc201463855"/>
      <w:bookmarkStart w:id="11" w:name="_Toc306010139"/>
      <w:bookmarkStart w:id="12" w:name="_Toc503174315"/>
    </w:p>
    <w:p>
      <w:pPr>
        <w:pStyle w:val="3"/>
        <w:spacing w:line="360" w:lineRule="auto"/>
        <w:ind w:left="526" w:leftChars="263"/>
        <w:rPr>
          <w:iCs/>
          <w:sz w:val="21"/>
        </w:rPr>
      </w:pPr>
      <w:r>
        <w:rPr>
          <w:b/>
          <w:bCs/>
          <w:sz w:val="24"/>
          <w:szCs w:val="24"/>
        </w:rPr>
        <w:t>2.</w:t>
      </w:r>
      <w:r>
        <w:rPr>
          <w:rFonts w:hint="eastAsia"/>
          <w:b/>
          <w:bCs/>
          <w:sz w:val="24"/>
          <w:szCs w:val="24"/>
        </w:rPr>
        <w:t>开发需求</w:t>
      </w:r>
      <w:bookmarkEnd w:id="10"/>
      <w:bookmarkEnd w:id="11"/>
      <w:bookmarkEnd w:id="12"/>
    </w:p>
    <w:p>
      <w:pPr>
        <w:pStyle w:val="3"/>
        <w:spacing w:line="360" w:lineRule="auto"/>
        <w:ind w:firstLine="525" w:firstLineChars="250"/>
        <w:rPr>
          <w:iCs/>
          <w:sz w:val="21"/>
        </w:rPr>
      </w:pPr>
      <w:r>
        <w:rPr>
          <w:rFonts w:hint="eastAsia"/>
          <w:iCs/>
          <w:sz w:val="21"/>
        </w:rPr>
        <w:t>《东莞理工学院城市学院教学工作考核系统》必须面向学院内部教学工作考核工作实际开发出的应用系统。通过计算机完成各种数据的录入，然后得出学院各职工的各项数据统计并生成报表等。不但可以把人们从繁琐的记录统计工作中解放出来，还可以增加管理的准确性、实效性。</w:t>
      </w:r>
      <w:bookmarkStart w:id="13" w:name="_Toc306010140"/>
      <w:bookmarkStart w:id="14" w:name="_Toc503174316"/>
    </w:p>
    <w:p>
      <w:pPr>
        <w:pStyle w:val="3"/>
        <w:spacing w:line="360" w:lineRule="auto"/>
        <w:ind w:left="526" w:leftChars="263"/>
        <w:rPr>
          <w:b/>
          <w:bCs/>
          <w:sz w:val="24"/>
          <w:szCs w:val="24"/>
        </w:rPr>
      </w:pPr>
      <w:r>
        <w:rPr>
          <w:rFonts w:hint="eastAsia"/>
          <w:b/>
          <w:bCs/>
          <w:sz w:val="24"/>
          <w:szCs w:val="24"/>
        </w:rPr>
        <w:t>（1）软件采用的技术路线</w:t>
      </w:r>
      <w:bookmarkEnd w:id="13"/>
      <w:bookmarkEnd w:id="14"/>
    </w:p>
    <w:p>
      <w:pPr>
        <w:pStyle w:val="3"/>
        <w:spacing w:line="360" w:lineRule="auto"/>
        <w:rPr>
          <w:iCs/>
          <w:sz w:val="21"/>
        </w:rPr>
      </w:pPr>
      <w:r>
        <w:rPr>
          <w:iCs/>
          <w:sz w:val="21"/>
        </w:rPr>
        <w:t xml:space="preserve">    </w:t>
      </w:r>
      <w:r>
        <w:rPr>
          <w:rFonts w:hint="eastAsia"/>
          <w:iCs/>
          <w:sz w:val="21"/>
        </w:rPr>
        <w:t>采用较前沿的科技技术路线，</w:t>
      </w:r>
      <w:r>
        <w:rPr>
          <w:iCs/>
          <w:sz w:val="21"/>
        </w:rPr>
        <w:t>BS</w:t>
      </w:r>
      <w:r>
        <w:rPr>
          <w:rFonts w:hint="eastAsia"/>
          <w:iCs/>
          <w:sz w:val="21"/>
        </w:rPr>
        <w:t>架构的教学工作考核系统采用</w:t>
      </w:r>
      <w:r>
        <w:rPr>
          <w:iCs/>
          <w:sz w:val="21"/>
        </w:rPr>
        <w:t>J2EE</w:t>
      </w:r>
      <w:r>
        <w:rPr>
          <w:rFonts w:hint="eastAsia"/>
          <w:iCs/>
          <w:sz w:val="21"/>
        </w:rPr>
        <w:t>技术提供的一个基于组件的方法来设计、开发、装配和部署用户级应用程序，支持跨平台应用，实现了硬件平台的无关性。</w:t>
      </w:r>
    </w:p>
    <w:p>
      <w:pPr>
        <w:spacing w:line="360" w:lineRule="auto"/>
        <w:ind w:firstLine="482" w:firstLineChars="200"/>
        <w:outlineLvl w:val="3"/>
        <w:rPr>
          <w:b/>
          <w:bCs/>
          <w:sz w:val="24"/>
          <w:szCs w:val="24"/>
        </w:rPr>
      </w:pPr>
      <w:bookmarkStart w:id="15" w:name="_Toc20072"/>
      <w:bookmarkStart w:id="16" w:name="_Toc503174317"/>
      <w:r>
        <w:rPr>
          <w:rFonts w:hint="eastAsia"/>
          <w:b/>
          <w:bCs/>
          <w:sz w:val="24"/>
          <w:szCs w:val="24"/>
        </w:rPr>
        <w:t>（2）必须遵循业内开放标准及协议</w:t>
      </w:r>
      <w:bookmarkEnd w:id="15"/>
      <w:bookmarkEnd w:id="16"/>
    </w:p>
    <w:p>
      <w:pPr>
        <w:autoSpaceDE w:val="0"/>
        <w:autoSpaceDN w:val="0"/>
        <w:spacing w:line="360" w:lineRule="auto"/>
        <w:ind w:firstLine="420"/>
        <w:rPr>
          <w:iCs/>
          <w:sz w:val="21"/>
        </w:rPr>
      </w:pPr>
      <w:r>
        <w:rPr>
          <w:rFonts w:hint="eastAsia"/>
          <w:iCs/>
          <w:sz w:val="21"/>
        </w:rPr>
        <w:t>系统的设计和开发遵循</w:t>
      </w:r>
      <w:r>
        <w:rPr>
          <w:iCs/>
          <w:sz w:val="21"/>
        </w:rPr>
        <w:t>IT</w:t>
      </w:r>
      <w:r>
        <w:rPr>
          <w:rFonts w:hint="eastAsia"/>
          <w:iCs/>
          <w:sz w:val="21"/>
        </w:rPr>
        <w:t>业界的开放标准及协议，选择了比较成熟的</w:t>
      </w:r>
      <w:r>
        <w:rPr>
          <w:iCs/>
          <w:sz w:val="21"/>
        </w:rPr>
        <w:t>IT</w:t>
      </w:r>
      <w:r>
        <w:rPr>
          <w:rFonts w:hint="eastAsia"/>
          <w:iCs/>
          <w:sz w:val="21"/>
        </w:rPr>
        <w:t>技术。支持与用户内其它应用实现无缝连接。</w:t>
      </w:r>
    </w:p>
    <w:p>
      <w:pPr>
        <w:autoSpaceDE w:val="0"/>
        <w:autoSpaceDN w:val="0"/>
        <w:spacing w:line="360" w:lineRule="auto"/>
        <w:rPr>
          <w:sz w:val="24"/>
        </w:rPr>
      </w:pPr>
      <w:r>
        <w:rPr>
          <w:iCs/>
          <w:sz w:val="21"/>
        </w:rPr>
        <w:t xml:space="preserve">  </w:t>
      </w:r>
      <w:r>
        <w:rPr>
          <w:rFonts w:hint="eastAsia"/>
          <w:iCs/>
          <w:sz w:val="21"/>
        </w:rPr>
        <w:t>其中主要采用的开放标准、协议和比较成熟的</w:t>
      </w:r>
      <w:r>
        <w:rPr>
          <w:iCs/>
          <w:sz w:val="21"/>
        </w:rPr>
        <w:t>IT</w:t>
      </w:r>
      <w:r>
        <w:rPr>
          <w:rFonts w:hint="eastAsia"/>
          <w:iCs/>
          <w:sz w:val="21"/>
        </w:rPr>
        <w:t>技术有</w:t>
      </w:r>
      <w:r>
        <w:rPr>
          <w:rFonts w:hint="eastAsia" w:ascii="宋体" w:hAnsi="宋体"/>
          <w:sz w:val="24"/>
        </w:rPr>
        <w:t>：</w:t>
      </w:r>
    </w:p>
    <w:p>
      <w:pPr>
        <w:tabs>
          <w:tab w:val="left" w:pos="840"/>
        </w:tabs>
        <w:autoSpaceDE w:val="0"/>
        <w:autoSpaceDN w:val="0"/>
        <w:spacing w:line="360" w:lineRule="auto"/>
        <w:ind w:left="420"/>
        <w:rPr>
          <w:sz w:val="24"/>
        </w:rPr>
      </w:pPr>
      <w:r>
        <w:rPr>
          <w:rFonts w:hint="eastAsia" w:ascii="宋体" w:hAnsi="宋体"/>
          <w:iCs/>
          <w:sz w:val="21"/>
        </w:rPr>
        <w:t>①</w:t>
      </w:r>
      <w:r>
        <w:rPr>
          <w:rFonts w:hint="eastAsia"/>
          <w:iCs/>
          <w:sz w:val="21"/>
        </w:rPr>
        <w:t>用于</w:t>
      </w:r>
      <w:r>
        <w:rPr>
          <w:iCs/>
          <w:sz w:val="21"/>
        </w:rPr>
        <w:t>HTTP</w:t>
      </w:r>
      <w:r>
        <w:rPr>
          <w:rFonts w:hint="eastAsia"/>
          <w:iCs/>
          <w:sz w:val="21"/>
        </w:rPr>
        <w:t>服务器等</w:t>
      </w:r>
      <w:r>
        <w:rPr>
          <w:iCs/>
          <w:sz w:val="21"/>
        </w:rPr>
        <w:t>Web</w:t>
      </w:r>
      <w:r>
        <w:rPr>
          <w:rFonts w:hint="eastAsia"/>
          <w:iCs/>
          <w:sz w:val="21"/>
        </w:rPr>
        <w:t>信息交互的</w:t>
      </w:r>
      <w:r>
        <w:rPr>
          <w:iCs/>
          <w:sz w:val="21"/>
        </w:rPr>
        <w:t>HTTP</w:t>
      </w:r>
      <w:r>
        <w:rPr>
          <w:rFonts w:hint="eastAsia"/>
          <w:iCs/>
          <w:sz w:val="21"/>
        </w:rPr>
        <w:t>、</w:t>
      </w:r>
      <w:r>
        <w:rPr>
          <w:iCs/>
          <w:sz w:val="21"/>
        </w:rPr>
        <w:t>HTTPS</w:t>
      </w:r>
      <w:r>
        <w:rPr>
          <w:rFonts w:hint="eastAsia"/>
          <w:iCs/>
          <w:sz w:val="21"/>
        </w:rPr>
        <w:t>协议；</w:t>
      </w:r>
    </w:p>
    <w:p>
      <w:pPr>
        <w:tabs>
          <w:tab w:val="left" w:pos="840"/>
        </w:tabs>
        <w:autoSpaceDE w:val="0"/>
        <w:autoSpaceDN w:val="0"/>
        <w:spacing w:line="360" w:lineRule="auto"/>
        <w:ind w:left="420"/>
        <w:rPr>
          <w:sz w:val="24"/>
        </w:rPr>
      </w:pPr>
      <w:r>
        <w:rPr>
          <w:rFonts w:hint="eastAsia" w:ascii="宋体" w:hAnsi="宋体"/>
          <w:iCs/>
          <w:sz w:val="21"/>
        </w:rPr>
        <w:t>②</w:t>
      </w:r>
      <w:r>
        <w:rPr>
          <w:rFonts w:hint="eastAsia"/>
          <w:iCs/>
          <w:sz w:val="21"/>
        </w:rPr>
        <w:t>用于</w:t>
      </w:r>
      <w:r>
        <w:rPr>
          <w:iCs/>
          <w:sz w:val="21"/>
        </w:rPr>
        <w:t>Web</w:t>
      </w:r>
      <w:r>
        <w:rPr>
          <w:rFonts w:hint="eastAsia"/>
          <w:iCs/>
          <w:sz w:val="21"/>
        </w:rPr>
        <w:t>信息规范的</w:t>
      </w:r>
      <w:r>
        <w:rPr>
          <w:iCs/>
          <w:sz w:val="21"/>
        </w:rPr>
        <w:t xml:space="preserve"> HTML4/5 </w:t>
      </w:r>
      <w:r>
        <w:rPr>
          <w:rFonts w:hint="eastAsia"/>
          <w:iCs/>
          <w:sz w:val="21"/>
        </w:rPr>
        <w:t>、</w:t>
      </w:r>
      <w:r>
        <w:rPr>
          <w:iCs/>
          <w:sz w:val="21"/>
        </w:rPr>
        <w:t>XML</w:t>
      </w:r>
      <w:r>
        <w:rPr>
          <w:rFonts w:hint="eastAsia"/>
          <w:iCs/>
          <w:sz w:val="21"/>
        </w:rPr>
        <w:t>、</w:t>
      </w:r>
      <w:r>
        <w:rPr>
          <w:iCs/>
          <w:sz w:val="21"/>
        </w:rPr>
        <w:t>DHTML</w:t>
      </w:r>
      <w:r>
        <w:rPr>
          <w:rFonts w:hint="eastAsia"/>
          <w:iCs/>
          <w:sz w:val="21"/>
        </w:rPr>
        <w:t>；</w:t>
      </w:r>
    </w:p>
    <w:p>
      <w:pPr>
        <w:tabs>
          <w:tab w:val="left" w:pos="840"/>
        </w:tabs>
        <w:autoSpaceDE w:val="0"/>
        <w:autoSpaceDN w:val="0"/>
        <w:spacing w:line="360" w:lineRule="auto"/>
        <w:ind w:left="420"/>
        <w:rPr>
          <w:iCs/>
          <w:sz w:val="21"/>
        </w:rPr>
      </w:pPr>
      <w:r>
        <w:rPr>
          <w:rFonts w:hint="eastAsia" w:ascii="宋体" w:hAnsi="宋体"/>
          <w:iCs/>
          <w:sz w:val="21"/>
        </w:rPr>
        <w:t>③</w:t>
      </w:r>
      <w:r>
        <w:rPr>
          <w:rFonts w:hint="eastAsia"/>
          <w:iCs/>
          <w:sz w:val="21"/>
        </w:rPr>
        <w:t>用于跨平台</w:t>
      </w:r>
      <w:r>
        <w:rPr>
          <w:iCs/>
          <w:sz w:val="21"/>
        </w:rPr>
        <w:t>Java</w:t>
      </w:r>
      <w:r>
        <w:rPr>
          <w:rFonts w:hint="eastAsia"/>
          <w:iCs/>
          <w:sz w:val="21"/>
        </w:rPr>
        <w:t>解决方案的</w:t>
      </w:r>
      <w:r>
        <w:rPr>
          <w:iCs/>
          <w:sz w:val="21"/>
        </w:rPr>
        <w:t xml:space="preserve"> J2EE</w:t>
      </w:r>
      <w:r>
        <w:rPr>
          <w:rFonts w:hint="eastAsia"/>
          <w:iCs/>
          <w:sz w:val="21"/>
        </w:rPr>
        <w:t>；</w:t>
      </w:r>
    </w:p>
    <w:p>
      <w:pPr>
        <w:tabs>
          <w:tab w:val="left" w:pos="840"/>
        </w:tabs>
        <w:autoSpaceDE w:val="0"/>
        <w:autoSpaceDN w:val="0"/>
        <w:spacing w:line="360" w:lineRule="auto"/>
        <w:ind w:left="420"/>
        <w:rPr>
          <w:iCs/>
          <w:sz w:val="21"/>
        </w:rPr>
      </w:pPr>
      <w:r>
        <w:rPr>
          <w:rFonts w:hint="eastAsia" w:ascii="宋体" w:hAnsi="宋体"/>
          <w:iCs/>
          <w:sz w:val="21"/>
        </w:rPr>
        <w:t>④</w:t>
      </w:r>
      <w:r>
        <w:rPr>
          <w:rFonts w:hint="eastAsia"/>
          <w:iCs/>
          <w:sz w:val="21"/>
        </w:rPr>
        <w:t>用于</w:t>
      </w:r>
      <w:r>
        <w:rPr>
          <w:iCs/>
          <w:sz w:val="21"/>
        </w:rPr>
        <w:t>Web</w:t>
      </w:r>
      <w:r>
        <w:rPr>
          <w:rFonts w:hint="eastAsia"/>
          <w:iCs/>
          <w:sz w:val="21"/>
        </w:rPr>
        <w:t>商务集成的</w:t>
      </w:r>
      <w:r>
        <w:rPr>
          <w:iCs/>
          <w:sz w:val="21"/>
        </w:rPr>
        <w:t xml:space="preserve"> Web </w:t>
      </w:r>
      <w:r>
        <w:rPr>
          <w:rFonts w:hint="eastAsia"/>
          <w:iCs/>
          <w:sz w:val="21"/>
        </w:rPr>
        <w:t>服务</w:t>
      </w:r>
      <w:r>
        <w:rPr>
          <w:iCs/>
          <w:sz w:val="21"/>
        </w:rPr>
        <w:t>(Web Services)</w:t>
      </w:r>
      <w:r>
        <w:rPr>
          <w:rFonts w:hint="eastAsia"/>
          <w:iCs/>
          <w:sz w:val="21"/>
        </w:rPr>
        <w:t>。</w:t>
      </w:r>
    </w:p>
    <w:p>
      <w:pPr>
        <w:autoSpaceDE w:val="0"/>
        <w:autoSpaceDN w:val="0"/>
        <w:spacing w:line="360" w:lineRule="auto"/>
        <w:ind w:firstLine="470" w:firstLineChars="195"/>
        <w:outlineLvl w:val="3"/>
        <w:rPr>
          <w:b/>
          <w:bCs/>
          <w:sz w:val="24"/>
          <w:szCs w:val="24"/>
        </w:rPr>
      </w:pPr>
      <w:bookmarkStart w:id="17" w:name="_Toc17038"/>
      <w:bookmarkStart w:id="18" w:name="_Toc503174318"/>
      <w:r>
        <w:rPr>
          <w:rFonts w:hint="eastAsia"/>
          <w:b/>
          <w:bCs/>
          <w:sz w:val="24"/>
          <w:szCs w:val="24"/>
        </w:rPr>
        <w:t>（3）采用较前沿的业务框架</w:t>
      </w:r>
      <w:r>
        <w:rPr>
          <w:b/>
          <w:bCs/>
          <w:sz w:val="24"/>
          <w:szCs w:val="24"/>
        </w:rPr>
        <w:t xml:space="preserve">   </w:t>
      </w:r>
      <w:r>
        <w:rPr>
          <w:rFonts w:hint="eastAsia"/>
          <w:b/>
          <w:bCs/>
          <w:sz w:val="24"/>
          <w:szCs w:val="24"/>
        </w:rPr>
        <w:t>采用灵活的多层应用架构</w:t>
      </w:r>
      <w:bookmarkEnd w:id="17"/>
      <w:bookmarkEnd w:id="18"/>
    </w:p>
    <w:p>
      <w:pPr>
        <w:autoSpaceDE w:val="0"/>
        <w:autoSpaceDN w:val="0"/>
        <w:spacing w:line="360" w:lineRule="auto"/>
        <w:jc w:val="both"/>
        <w:rPr>
          <w:iCs/>
          <w:sz w:val="21"/>
        </w:rPr>
      </w:pPr>
      <w:r>
        <w:rPr>
          <w:rFonts w:hint="eastAsia" w:ascii="宋体" w:hAnsi="宋体"/>
          <w:sz w:val="24"/>
        </w:rPr>
        <w:t xml:space="preserve">   </w:t>
      </w:r>
      <w:r>
        <w:rPr>
          <w:iCs/>
          <w:sz w:val="21"/>
        </w:rPr>
        <w:t xml:space="preserve"> BS</w:t>
      </w:r>
      <w:r>
        <w:rPr>
          <w:rFonts w:hint="eastAsia"/>
          <w:iCs/>
          <w:sz w:val="21"/>
        </w:rPr>
        <w:t>架构的教学工作考核系统基于</w:t>
      </w:r>
      <w:r>
        <w:rPr>
          <w:iCs/>
          <w:sz w:val="21"/>
        </w:rPr>
        <w:t>B/S</w:t>
      </w:r>
      <w:r>
        <w:rPr>
          <w:rFonts w:hint="eastAsia"/>
          <w:iCs/>
          <w:sz w:val="21"/>
        </w:rPr>
        <w:t>的</w:t>
      </w:r>
      <w:r>
        <w:rPr>
          <w:iCs/>
          <w:sz w:val="21"/>
        </w:rPr>
        <w:t>J2EE</w:t>
      </w:r>
      <w:r>
        <w:rPr>
          <w:rFonts w:hint="eastAsia"/>
          <w:iCs/>
          <w:sz w:val="21"/>
        </w:rPr>
        <w:t>分层结构，实现应用分层部署，通过中间件的负载平衡、动态伸缩等集群技术提高并发处理能力，为关键业务建立了最佳的运行环境。</w:t>
      </w:r>
    </w:p>
    <w:p>
      <w:pPr>
        <w:autoSpaceDE w:val="0"/>
        <w:autoSpaceDN w:val="0"/>
        <w:spacing w:line="360" w:lineRule="auto"/>
        <w:rPr>
          <w:iCs/>
          <w:sz w:val="21"/>
        </w:rPr>
      </w:pPr>
      <w:r>
        <w:rPr>
          <w:iCs/>
          <w:sz w:val="21"/>
        </w:rPr>
        <w:t xml:space="preserve">     </w:t>
      </w:r>
      <w:r>
        <w:rPr>
          <w:rFonts w:hint="eastAsia"/>
          <w:iCs/>
          <w:sz w:val="21"/>
        </w:rPr>
        <w:t>以</w:t>
      </w:r>
      <w:r>
        <w:rPr>
          <w:iCs/>
          <w:sz w:val="21"/>
        </w:rPr>
        <w:t>Browser</w:t>
      </w:r>
      <w:r>
        <w:rPr>
          <w:rFonts w:hint="eastAsia"/>
          <w:iCs/>
          <w:sz w:val="21"/>
        </w:rPr>
        <w:t>（浏览器）为核心的客户端程序，实现了真正意义上的“零维护”，从而使业务软件的更新、发布和维护更为容易。</w:t>
      </w:r>
      <w:bookmarkStart w:id="19" w:name="_Toc503174319"/>
      <w:bookmarkStart w:id="20" w:name="_Toc306010141"/>
    </w:p>
    <w:p>
      <w:pPr>
        <w:autoSpaceDE w:val="0"/>
        <w:autoSpaceDN w:val="0"/>
        <w:spacing w:line="360" w:lineRule="auto"/>
        <w:ind w:firstLine="482" w:firstLineChars="200"/>
        <w:rPr>
          <w:b/>
          <w:bCs/>
          <w:sz w:val="24"/>
          <w:szCs w:val="24"/>
        </w:rPr>
      </w:pPr>
      <w:r>
        <w:rPr>
          <w:rFonts w:hint="eastAsia"/>
          <w:b/>
          <w:bCs/>
          <w:sz w:val="24"/>
          <w:szCs w:val="24"/>
        </w:rPr>
        <w:t>3</w:t>
      </w:r>
      <w:r>
        <w:rPr>
          <w:b/>
          <w:bCs/>
          <w:sz w:val="24"/>
          <w:szCs w:val="24"/>
        </w:rPr>
        <w:t>.</w:t>
      </w:r>
      <w:r>
        <w:rPr>
          <w:rFonts w:hint="eastAsia"/>
          <w:b/>
          <w:bCs/>
          <w:sz w:val="24"/>
          <w:szCs w:val="24"/>
        </w:rPr>
        <w:t>安全性设计</w:t>
      </w:r>
      <w:bookmarkEnd w:id="19"/>
      <w:bookmarkEnd w:id="20"/>
    </w:p>
    <w:p>
      <w:pPr>
        <w:spacing w:line="360" w:lineRule="auto"/>
        <w:ind w:left="425"/>
        <w:outlineLvl w:val="3"/>
        <w:rPr>
          <w:b/>
          <w:bCs/>
          <w:sz w:val="24"/>
          <w:szCs w:val="24"/>
        </w:rPr>
      </w:pPr>
      <w:bookmarkStart w:id="21" w:name="_Toc503174320"/>
      <w:r>
        <w:rPr>
          <w:rFonts w:hint="eastAsia"/>
          <w:b/>
          <w:bCs/>
          <w:sz w:val="24"/>
          <w:szCs w:val="24"/>
        </w:rPr>
        <w:t>（</w:t>
      </w:r>
      <w:r>
        <w:rPr>
          <w:b/>
          <w:bCs/>
          <w:sz w:val="24"/>
          <w:szCs w:val="24"/>
        </w:rPr>
        <w:t>1</w:t>
      </w:r>
      <w:r>
        <w:rPr>
          <w:rFonts w:hint="eastAsia"/>
          <w:b/>
          <w:bCs/>
          <w:sz w:val="24"/>
          <w:szCs w:val="24"/>
        </w:rPr>
        <w:t>）身份认证</w:t>
      </w:r>
      <w:bookmarkEnd w:id="21"/>
    </w:p>
    <w:p>
      <w:pPr>
        <w:autoSpaceDE w:val="0"/>
        <w:autoSpaceDN w:val="0"/>
        <w:spacing w:line="360" w:lineRule="auto"/>
        <w:ind w:firstLine="420" w:firstLineChars="200"/>
        <w:rPr>
          <w:iCs/>
          <w:sz w:val="21"/>
        </w:rPr>
      </w:pPr>
      <w:r>
        <w:rPr>
          <w:rFonts w:hint="eastAsia"/>
          <w:iCs/>
          <w:sz w:val="21"/>
        </w:rPr>
        <w:t>根据用户需要，教学工作考核软件可以支持市场上比较流行的身份认证方案，这些方案主要有：</w:t>
      </w:r>
    </w:p>
    <w:p>
      <w:pPr>
        <w:autoSpaceDE w:val="0"/>
        <w:autoSpaceDN w:val="0"/>
        <w:spacing w:line="360" w:lineRule="auto"/>
        <w:ind w:firstLine="525" w:firstLineChars="250"/>
        <w:rPr>
          <w:iCs/>
          <w:sz w:val="21"/>
        </w:rPr>
      </w:pPr>
      <w:r>
        <w:rPr>
          <w:rFonts w:hint="eastAsia" w:ascii="宋体" w:hAnsi="宋体"/>
          <w:iCs/>
          <w:sz w:val="21"/>
        </w:rPr>
        <w:t>①</w:t>
      </w:r>
      <w:r>
        <w:rPr>
          <w:rFonts w:hint="eastAsia"/>
          <w:iCs/>
          <w:sz w:val="21"/>
        </w:rPr>
        <w:t>传统用户名</w:t>
      </w:r>
      <w:r>
        <w:rPr>
          <w:iCs/>
          <w:sz w:val="21"/>
        </w:rPr>
        <w:t>/</w:t>
      </w:r>
      <w:r>
        <w:rPr>
          <w:rFonts w:hint="eastAsia"/>
          <w:iCs/>
          <w:sz w:val="21"/>
        </w:rPr>
        <w:t>密码认证</w:t>
      </w:r>
    </w:p>
    <w:p>
      <w:pPr>
        <w:autoSpaceDE w:val="0"/>
        <w:autoSpaceDN w:val="0"/>
        <w:spacing w:line="360" w:lineRule="auto"/>
        <w:ind w:firstLine="525" w:firstLineChars="250"/>
        <w:rPr>
          <w:iCs/>
          <w:sz w:val="21"/>
        </w:rPr>
      </w:pPr>
      <w:r>
        <w:rPr>
          <w:rFonts w:hint="eastAsia" w:ascii="宋体" w:hAnsi="宋体"/>
          <w:iCs/>
          <w:sz w:val="21"/>
        </w:rPr>
        <w:t>②</w:t>
      </w:r>
      <w:r>
        <w:rPr>
          <w:rFonts w:hint="eastAsia"/>
          <w:iCs/>
          <w:sz w:val="21"/>
        </w:rPr>
        <w:t>支持验证码认证</w:t>
      </w:r>
    </w:p>
    <w:p>
      <w:pPr>
        <w:spacing w:line="360" w:lineRule="auto"/>
        <w:ind w:left="425"/>
        <w:outlineLvl w:val="3"/>
        <w:rPr>
          <w:b/>
          <w:bCs/>
          <w:sz w:val="24"/>
          <w:szCs w:val="24"/>
        </w:rPr>
      </w:pPr>
      <w:bookmarkStart w:id="22" w:name="_Toc503174321"/>
      <w:r>
        <w:rPr>
          <w:rFonts w:hint="eastAsia"/>
          <w:b/>
          <w:bCs/>
          <w:sz w:val="24"/>
          <w:szCs w:val="24"/>
        </w:rPr>
        <w:t>（</w:t>
      </w:r>
      <w:r>
        <w:rPr>
          <w:b/>
          <w:bCs/>
          <w:sz w:val="24"/>
          <w:szCs w:val="24"/>
        </w:rPr>
        <w:t>2</w:t>
      </w:r>
      <w:r>
        <w:rPr>
          <w:rFonts w:hint="eastAsia"/>
          <w:b/>
          <w:bCs/>
          <w:sz w:val="24"/>
          <w:szCs w:val="24"/>
        </w:rPr>
        <w:t>）数据传输安全性</w:t>
      </w:r>
      <w:bookmarkEnd w:id="22"/>
    </w:p>
    <w:p>
      <w:pPr>
        <w:autoSpaceDE w:val="0"/>
        <w:autoSpaceDN w:val="0"/>
        <w:spacing w:line="360" w:lineRule="auto"/>
        <w:ind w:firstLine="420" w:firstLineChars="200"/>
        <w:rPr>
          <w:iCs/>
          <w:sz w:val="21"/>
        </w:rPr>
      </w:pPr>
      <w:r>
        <w:rPr>
          <w:rFonts w:hint="eastAsia"/>
          <w:iCs/>
          <w:sz w:val="21"/>
        </w:rPr>
        <w:t>采用</w:t>
      </w:r>
      <w:r>
        <w:rPr>
          <w:iCs/>
          <w:sz w:val="21"/>
        </w:rPr>
        <w:t>128</w:t>
      </w:r>
      <w:r>
        <w:rPr>
          <w:rFonts w:hint="eastAsia"/>
          <w:iCs/>
          <w:sz w:val="21"/>
        </w:rPr>
        <w:t>位</w:t>
      </w:r>
      <w:r>
        <w:rPr>
          <w:iCs/>
          <w:sz w:val="21"/>
        </w:rPr>
        <w:t>SSL</w:t>
      </w:r>
      <w:r>
        <w:rPr>
          <w:rFonts w:hint="eastAsia"/>
          <w:iCs/>
          <w:sz w:val="21"/>
        </w:rPr>
        <w:t>安全隧道技术确保信息安全，</w:t>
      </w:r>
      <w:r>
        <w:rPr>
          <w:iCs/>
          <w:sz w:val="21"/>
        </w:rPr>
        <w:t>SSL(Secure Sockets Layer)</w:t>
      </w:r>
      <w:r>
        <w:rPr>
          <w:rFonts w:hint="eastAsia"/>
          <w:iCs/>
          <w:sz w:val="21"/>
        </w:rPr>
        <w:t>安全套接层协议是</w:t>
      </w:r>
      <w:r>
        <w:rPr>
          <w:iCs/>
          <w:sz w:val="21"/>
        </w:rPr>
        <w:t>Netscape</w:t>
      </w:r>
      <w:r>
        <w:rPr>
          <w:rFonts w:hint="eastAsia"/>
          <w:iCs/>
          <w:sz w:val="21"/>
        </w:rPr>
        <w:t>学院</w:t>
      </w:r>
      <w:r>
        <w:rPr>
          <w:iCs/>
          <w:sz w:val="21"/>
        </w:rPr>
        <w:t>1995</w:t>
      </w:r>
      <w:r>
        <w:rPr>
          <w:rFonts w:hint="eastAsia"/>
          <w:iCs/>
          <w:sz w:val="21"/>
        </w:rPr>
        <w:t>年推出的一种安全通信协议。</w:t>
      </w:r>
      <w:r>
        <w:rPr>
          <w:iCs/>
          <w:sz w:val="21"/>
        </w:rPr>
        <w:t>SSL</w:t>
      </w:r>
      <w:r>
        <w:rPr>
          <w:rFonts w:hint="eastAsia"/>
          <w:iCs/>
          <w:sz w:val="21"/>
        </w:rPr>
        <w:t>提供了两台计算机之间的安全连接，对整个会话进行了加密，从而保证了安全传输。</w:t>
      </w:r>
    </w:p>
    <w:p>
      <w:pPr>
        <w:autoSpaceDE w:val="0"/>
        <w:autoSpaceDN w:val="0"/>
        <w:spacing w:line="360" w:lineRule="auto"/>
        <w:ind w:firstLine="361" w:firstLineChars="150"/>
        <w:outlineLvl w:val="3"/>
        <w:rPr>
          <w:b/>
          <w:bCs/>
          <w:sz w:val="24"/>
          <w:szCs w:val="24"/>
        </w:rPr>
      </w:pPr>
      <w:bookmarkStart w:id="23" w:name="_Toc503174322"/>
      <w:r>
        <w:rPr>
          <w:rFonts w:hint="eastAsia"/>
          <w:b/>
          <w:bCs/>
          <w:sz w:val="24"/>
          <w:szCs w:val="24"/>
        </w:rPr>
        <w:t>（</w:t>
      </w:r>
      <w:r>
        <w:rPr>
          <w:b/>
          <w:bCs/>
          <w:sz w:val="24"/>
          <w:szCs w:val="24"/>
        </w:rPr>
        <w:t>3</w:t>
      </w:r>
      <w:r>
        <w:rPr>
          <w:rFonts w:hint="eastAsia"/>
          <w:b/>
          <w:bCs/>
          <w:sz w:val="24"/>
          <w:szCs w:val="24"/>
        </w:rPr>
        <w:t>）数据的安全性访问</w:t>
      </w:r>
      <w:bookmarkEnd w:id="23"/>
    </w:p>
    <w:p>
      <w:pPr>
        <w:autoSpaceDE w:val="0"/>
        <w:autoSpaceDN w:val="0"/>
        <w:spacing w:line="360" w:lineRule="auto"/>
        <w:ind w:firstLine="420" w:firstLineChars="200"/>
        <w:rPr>
          <w:iCs/>
          <w:sz w:val="21"/>
        </w:rPr>
      </w:pPr>
      <w:r>
        <w:rPr>
          <w:rFonts w:hint="eastAsia"/>
          <w:iCs/>
          <w:sz w:val="21"/>
        </w:rPr>
        <w:t>可以定义用户的功能范围及考核管理范围，包括应用库、表、指标、资源（如统计报表、登记表、常用花册等）以及记录授权。</w:t>
      </w:r>
    </w:p>
    <w:p>
      <w:pPr>
        <w:autoSpaceDE w:val="0"/>
        <w:autoSpaceDN w:val="0"/>
        <w:spacing w:line="360" w:lineRule="auto"/>
        <w:ind w:firstLine="420" w:firstLineChars="200"/>
        <w:rPr>
          <w:iCs/>
          <w:sz w:val="21"/>
        </w:rPr>
      </w:pPr>
      <w:r>
        <w:rPr>
          <w:rFonts w:hint="eastAsia"/>
          <w:iCs/>
          <w:sz w:val="21"/>
        </w:rPr>
        <w:t>不同的角色可以授予不同的功能，功能点可以具体到每个操作点。不同的授权角色进入系统，显示不同的操作界面。</w:t>
      </w:r>
    </w:p>
    <w:p>
      <w:pPr>
        <w:autoSpaceDE w:val="0"/>
        <w:autoSpaceDN w:val="0"/>
        <w:spacing w:line="360" w:lineRule="auto"/>
        <w:ind w:firstLine="420" w:firstLineChars="200"/>
        <w:rPr>
          <w:iCs/>
          <w:sz w:val="21"/>
        </w:rPr>
      </w:pPr>
      <w:r>
        <w:rPr>
          <w:rFonts w:hint="eastAsia"/>
          <w:iCs/>
          <w:sz w:val="21"/>
        </w:rPr>
        <w:t>数据库授权到每一个字段（指标），不同的字段可以分别授写权、读权和无权。记录授权可以授权到每一条记录，不同的操作用户可以只能看到其管辖范围内的数据。</w:t>
      </w:r>
    </w:p>
    <w:p>
      <w:pPr>
        <w:autoSpaceDE w:val="0"/>
        <w:autoSpaceDN w:val="0"/>
        <w:spacing w:line="360" w:lineRule="auto"/>
        <w:ind w:firstLine="420" w:firstLineChars="200"/>
        <w:rPr>
          <w:iCs/>
          <w:sz w:val="21"/>
        </w:rPr>
      </w:pPr>
      <w:r>
        <w:rPr>
          <w:rFonts w:hint="eastAsia"/>
          <w:iCs/>
          <w:sz w:val="21"/>
        </w:rPr>
        <w:t>可以单独或分段设置能够登录教学工作考核系统的机器，限制未授权机器访问系统。</w:t>
      </w:r>
    </w:p>
    <w:p>
      <w:pPr>
        <w:autoSpaceDE w:val="0"/>
        <w:autoSpaceDN w:val="0"/>
        <w:spacing w:line="360" w:lineRule="auto"/>
        <w:ind w:firstLine="482" w:firstLineChars="200"/>
        <w:rPr>
          <w:rFonts w:hint="eastAsia"/>
          <w:b/>
          <w:bCs/>
          <w:sz w:val="24"/>
          <w:szCs w:val="24"/>
        </w:rPr>
      </w:pPr>
      <w:r>
        <w:rPr>
          <w:rFonts w:hint="eastAsia"/>
          <w:b/>
          <w:bCs/>
          <w:sz w:val="24"/>
          <w:szCs w:val="24"/>
        </w:rPr>
        <w:t>四、功能需求</w:t>
      </w:r>
    </w:p>
    <w:p>
      <w:pPr>
        <w:rPr>
          <w:rFonts w:hint="eastAsia"/>
        </w:rPr>
      </w:pPr>
      <w:r>
        <w:rPr>
          <w:rFonts w:hint="eastAsia"/>
        </w:rPr>
        <w:pict>
          <v:rect id="_x0000_s1026" o:spid="_x0000_s1026" o:spt="1" style="position:absolute;left:0pt;margin-left:98.1pt;margin-top:2.55pt;height:29.2pt;width:203.65pt;z-index:251755520;mso-width-relative:page;mso-height-relative:page;" coordsize="21600,21600">
            <v:path/>
            <v:fill focussize="0,0"/>
            <v:stroke/>
            <v:imagedata o:title=""/>
            <o:lock v:ext="edit"/>
            <v:textbox>
              <w:txbxContent>
                <w:p>
                  <w:pPr>
                    <w:jc w:val="center"/>
                    <w:rPr>
                      <w:b/>
                      <w:sz w:val="28"/>
                      <w:szCs w:val="28"/>
                    </w:rPr>
                  </w:pPr>
                  <w:r>
                    <w:rPr>
                      <w:rFonts w:hint="eastAsia"/>
                      <w:b/>
                      <w:sz w:val="28"/>
                      <w:szCs w:val="28"/>
                    </w:rPr>
                    <w:t>教学工作考核系统</w:t>
                  </w:r>
                </w:p>
              </w:txbxContent>
            </v:textbox>
          </v:rect>
        </w:pict>
      </w:r>
    </w:p>
    <w:p>
      <w:pPr>
        <w:rPr>
          <w:rFonts w:hint="eastAsia"/>
        </w:rPr>
      </w:pPr>
    </w:p>
    <w:p>
      <w:pPr>
        <w:rPr>
          <w:rFonts w:hint="eastAsia"/>
        </w:rPr>
      </w:pPr>
      <w:r>
        <w:rPr>
          <w:rFonts w:hint="eastAsia"/>
        </w:rPr>
        <w:pict>
          <v:shape id="_x0000_s1027" o:spid="_x0000_s1027" o:spt="32" type="#_x0000_t32" style="position:absolute;left:0pt;margin-left:194.8pt;margin-top:7.75pt;height:15pt;width:0.05pt;z-index:251756544;mso-width-relative:page;mso-height-relative:page;" o:connectortype="straight" filled="f" coordsize="21600,21600">
            <v:path arrowok="t"/>
            <v:fill on="f" focussize="0,0"/>
            <v:stroke endarrow="block"/>
            <v:imagedata o:title=""/>
            <o:lock v:ext="edit"/>
          </v:shape>
        </w:pict>
      </w:r>
    </w:p>
    <w:p>
      <w:pPr>
        <w:rPr>
          <w:rFonts w:hint="eastAsia"/>
        </w:rPr>
      </w:pPr>
      <w:r>
        <w:rPr>
          <w:rFonts w:hint="eastAsia"/>
        </w:rPr>
        <w:pict>
          <v:shape id="_x0000_s1030" o:spid="_x0000_s1030" o:spt="32" type="#_x0000_t32" style="position:absolute;left:0pt;margin-left:370.45pt;margin-top:10.75pt;height:17.7pt;width:0pt;z-index:251759616;mso-width-relative:page;mso-height-relative:page;" o:connectortype="straight" filled="f" coordsize="21600,21600">
            <v:path arrowok="t"/>
            <v:fill on="f" focussize="0,0"/>
            <v:stroke endarrow="block"/>
            <v:imagedata o:title=""/>
            <o:lock v:ext="edit"/>
          </v:shape>
        </w:pict>
      </w:r>
      <w:r>
        <w:rPr>
          <w:rFonts w:hint="eastAsia"/>
        </w:rPr>
        <w:pict>
          <v:shape id="_x0000_s1031" o:spid="_x0000_s1031" o:spt="32" type="#_x0000_t32" style="position:absolute;left:0pt;margin-left:194.7pt;margin-top:10.75pt;height:19.25pt;width:0.05pt;z-index:251760640;mso-width-relative:page;mso-height-relative:page;" o:connectortype="straight" filled="f" coordsize="21600,21600">
            <v:path arrowok="t"/>
            <v:fill on="f" focussize="0,0"/>
            <v:stroke endarrow="block"/>
            <v:imagedata o:title=""/>
            <o:lock v:ext="edit"/>
          </v:shape>
        </w:pict>
      </w:r>
      <w:r>
        <w:rPr>
          <w:rFonts w:hint="eastAsia"/>
        </w:rPr>
        <w:pict>
          <v:shape id="_x0000_s1029" o:spid="_x0000_s1029" o:spt="32" type="#_x0000_t32" style="position:absolute;left:0pt;margin-left:49.45pt;margin-top:10.75pt;height:19.25pt;width:0pt;z-index:251758592;mso-width-relative:page;mso-height-relative:page;" o:connectortype="straight" filled="f" coordsize="21600,21600">
            <v:path arrowok="t"/>
            <v:fill on="f" focussize="0,0"/>
            <v:stroke endarrow="block"/>
            <v:imagedata o:title=""/>
            <o:lock v:ext="edit"/>
          </v:shape>
        </w:pict>
      </w:r>
      <w:r>
        <w:rPr>
          <w:rFonts w:hint="eastAsia"/>
        </w:rPr>
        <w:pict>
          <v:shape id="_x0000_s1028" o:spid="_x0000_s1028" o:spt="32" type="#_x0000_t32" style="position:absolute;left:0pt;margin-left:49.5pt;margin-top:10.75pt;height:0pt;width:320.95pt;z-index:251757568;mso-width-relative:page;mso-height-relative:page;" o:connectortype="straight" filled="f" coordsize="21600,21600">
            <v:path arrowok="t"/>
            <v:fill on="f" focussize="0,0"/>
            <v:stroke/>
            <v:imagedata o:title=""/>
            <o:lock v:ext="edit"/>
          </v:shape>
        </w:pict>
      </w:r>
    </w:p>
    <w:p>
      <w:pPr>
        <w:rPr>
          <w:rFonts w:hint="eastAsia"/>
        </w:rPr>
      </w:pPr>
    </w:p>
    <w:p>
      <w:pPr>
        <w:rPr>
          <w:rFonts w:hint="eastAsia"/>
        </w:rPr>
      </w:pPr>
      <w:r>
        <w:rPr>
          <w:rFonts w:hint="eastAsia"/>
        </w:rPr>
        <w:pict>
          <v:shape id="_x0000_s1035" o:spid="_x0000_s1035" o:spt="202" type="#_x0000_t202" style="position:absolute;left:0pt;margin-left:311.35pt;margin-top:6pt;height:21.65pt;width:106.4pt;z-index:251763712;mso-width-relative:page;mso-height-relative:page;" coordsize="21600,21600">
            <v:path/>
            <v:fill focussize="0,0"/>
            <v:stroke joinstyle="miter"/>
            <v:imagedata o:title=""/>
            <o:lock v:ext="edit"/>
            <v:textbox>
              <w:txbxContent>
                <w:p>
                  <w:pPr>
                    <w:jc w:val="center"/>
                    <w:rPr>
                      <w:b/>
                    </w:rPr>
                  </w:pPr>
                  <w:r>
                    <w:rPr>
                      <w:rFonts w:hint="eastAsia"/>
                      <w:b/>
                    </w:rPr>
                    <w:t>教学单位秘书考核</w:t>
                  </w:r>
                </w:p>
              </w:txbxContent>
            </v:textbox>
          </v:shape>
        </w:pict>
      </w:r>
      <w:r>
        <w:rPr>
          <w:rFonts w:hint="eastAsia"/>
        </w:rPr>
        <w:pict>
          <v:shape id="_x0000_s1034" o:spid="_x0000_s1034" o:spt="202" type="#_x0000_t202" style="position:absolute;left:0pt;margin-left:142.85pt;margin-top:6pt;height:21.4pt;width:106.45pt;z-index:251762688;mso-width-relative:page;mso-height-relative:page;" coordsize="21600,21600">
            <v:path/>
            <v:fill focussize="0,0"/>
            <v:stroke joinstyle="miter"/>
            <v:imagedata o:title=""/>
            <o:lock v:ext="edit"/>
            <v:textbox>
              <w:txbxContent>
                <w:p>
                  <w:pPr>
                    <w:jc w:val="center"/>
                    <w:rPr>
                      <w:b/>
                    </w:rPr>
                  </w:pPr>
                  <w:r>
                    <w:rPr>
                      <w:rFonts w:hint="eastAsia"/>
                      <w:b/>
                    </w:rPr>
                    <w:t>教学单位考核</w:t>
                  </w:r>
                </w:p>
              </w:txbxContent>
            </v:textbox>
          </v:shape>
        </w:pict>
      </w:r>
      <w:r>
        <w:rPr>
          <w:rFonts w:hint="eastAsia"/>
        </w:rPr>
        <w:pict>
          <v:shape id="_x0000_s1033" o:spid="_x0000_s1033" o:spt="202" type="#_x0000_t202" style="position:absolute;left:0pt;margin-left:-2.6pt;margin-top:4.45pt;height:21.4pt;width:108.1pt;z-index:251761664;mso-width-relative:page;mso-height-relative:page;" coordsize="21600,21600">
            <v:path/>
            <v:fill focussize="0,0"/>
            <v:stroke joinstyle="miter"/>
            <v:imagedata o:title=""/>
            <o:lock v:ext="edit"/>
            <v:textbox>
              <w:txbxContent>
                <w:p>
                  <w:pPr>
                    <w:jc w:val="center"/>
                    <w:rPr>
                      <w:b/>
                    </w:rPr>
                  </w:pPr>
                  <w:r>
                    <w:rPr>
                      <w:rFonts w:hint="eastAsia"/>
                      <w:b/>
                    </w:rPr>
                    <w:t>专任教师考核</w:t>
                  </w:r>
                </w:p>
              </w:txbxContent>
            </v:textbox>
          </v:shape>
        </w:pict>
      </w:r>
    </w:p>
    <w:p>
      <w:pPr>
        <w:rPr>
          <w:rFonts w:hint="eastAsia"/>
        </w:rPr>
      </w:pPr>
    </w:p>
    <w:p>
      <w:pPr>
        <w:rPr>
          <w:rFonts w:hint="eastAsia"/>
        </w:rPr>
      </w:pPr>
      <w:r>
        <w:pict>
          <v:shape id="_x0000_s1071" o:spid="_x0000_s1071" o:spt="32" type="#_x0000_t32" style="position:absolute;left:0pt;margin-left:370.45pt;margin-top:3.65pt;height:23.7pt;width:0pt;z-index:251767808;mso-width-relative:page;mso-height-relative:page;" o:connectortype="straight" filled="f" coordsize="21600,21600">
            <v:path arrowok="t"/>
            <v:fill on="f" focussize="0,0"/>
            <v:stroke endarrow="block"/>
            <v:imagedata o:title=""/>
            <o:lock v:ext="edit"/>
          </v:shape>
        </w:pict>
      </w:r>
      <w:r>
        <w:pict>
          <v:shape id="_x0000_s1038" o:spid="_x0000_s1038" o:spt="32" type="#_x0000_t32" style="position:absolute;left:0pt;margin-left:194.85pt;margin-top:3.65pt;height:23.7pt;width:0pt;z-index:251765760;mso-width-relative:page;mso-height-relative:page;" o:connectortype="straight" filled="f" coordsize="21600,21600">
            <v:path arrowok="t"/>
            <v:fill on="f" focussize="0,0"/>
            <v:stroke endarrow="block"/>
            <v:imagedata o:title=""/>
            <o:lock v:ext="edit"/>
          </v:shape>
        </w:pict>
      </w:r>
      <w:r>
        <w:pict>
          <v:shape id="_x0000_s1036" o:spid="_x0000_s1036" o:spt="32" type="#_x0000_t32" style="position:absolute;left:0pt;margin-left:46.1pt;margin-top:1.85pt;height:23.7pt;width:0pt;z-index:251764736;mso-width-relative:page;mso-height-relative:page;" o:connectortype="straight" filled="f" coordsize="21600,21600">
            <v:path arrowok="t"/>
            <v:fill on="f" focussize="0,0"/>
            <v:stroke endarrow="block"/>
            <v:imagedata o:title=""/>
            <o:lock v:ext="edit"/>
          </v:shape>
        </w:pict>
      </w:r>
    </w:p>
    <w:p>
      <w:pPr>
        <w:rPr>
          <w:rFonts w:hint="eastAsia"/>
        </w:rPr>
      </w:pPr>
      <w:r>
        <w:pict>
          <v:group id="_x0000_s1149" o:spid="_x0000_s1149" o:spt="203" style="position:absolute;left:0pt;margin-left:-23.2pt;margin-top:10.9pt;height:457.95pt;width:474.05pt;z-index:251839488;mso-width-relative:page;mso-height-relative:page;" coordorigin="1336,7684" coordsize="9481,9159">
            <o:lock v:ext="edit"/>
            <v:shape id="_x0000_s1127" o:spid="_x0000_s1127" o:spt="32" type="#_x0000_t32" style="position:absolute;left:6474;top:10416;height:257;width:0;" o:connectortype="straight" filled="f" coordsize="21600,21600">
              <v:path arrowok="t"/>
              <v:fill on="f" focussize="0,0"/>
              <v:stroke/>
              <v:imagedata o:title=""/>
              <o:lock v:ext="edit"/>
            </v:shape>
            <v:shape id="_x0000_s1128" o:spid="_x0000_s1128" o:spt="32" type="#_x0000_t32" style="position:absolute;left:6474;top:10673;height:0;width:2735;" o:connectortype="straight" filled="f" coordsize="21600,21600">
              <v:path arrowok="t"/>
              <v:fill on="f" focussize="0,0"/>
              <v:stroke/>
              <v:imagedata o:title=""/>
              <o:lock v:ext="edit"/>
            </v:shape>
            <v:shape id="_x0000_s1129" o:spid="_x0000_s1129" o:spt="32" type="#_x0000_t32" style="position:absolute;left:9209;top:10673;height:187;width:0;" o:connectortype="straight" filled="f" coordsize="21600,21600">
              <v:path arrowok="t"/>
              <v:fill on="f" focussize="0,0"/>
              <v:stroke endarrow="block"/>
              <v:imagedata o:title=""/>
              <o:lock v:ext="edit"/>
            </v:shape>
            <v:group id="_x0000_s1148" o:spid="_x0000_s1148" o:spt="203" style="position:absolute;left:1336;top:7684;height:9159;width:9481;" coordorigin="1336,7672" coordsize="9481,9159">
              <o:lock v:ext="edit"/>
              <v:shape id="_x0000_s1039" o:spid="_x0000_s1039" o:spt="32" type="#_x0000_t32" style="position:absolute;left:1694;top:7778;height:19;width:2068;" o:connectortype="straight" filled="f" coordsize="21600,21600">
                <v:path arrowok="t"/>
                <v:fill on="f" focussize="0,0"/>
                <v:stroke/>
                <v:imagedata o:title=""/>
                <o:lock v:ext="edit"/>
              </v:shape>
              <v:shape id="_x0000_s1072" o:spid="_x0000_s1072" o:spt="32" type="#_x0000_t32" style="position:absolute;left:2904;top:7797;height:474;width:0;" o:connectortype="straight" filled="f" coordsize="21600,21600">
                <v:path arrowok="t"/>
                <v:fill on="f" focussize="0,0"/>
                <v:stroke endarrow="block"/>
                <v:imagedata o:title=""/>
                <o:lock v:ext="edit"/>
              </v:shape>
              <v:shape id="_x0000_s1073" o:spid="_x0000_s1073" o:spt="32" type="#_x0000_t32" style="position:absolute;left:2263;top:7797;height:474;width:0;" o:connectortype="straight" filled="f" coordsize="21600,21600">
                <v:path arrowok="t"/>
                <v:fill on="f" focussize="0,0"/>
                <v:stroke endarrow="block"/>
                <v:imagedata o:title=""/>
                <o:lock v:ext="edit"/>
              </v:shape>
              <v:shape id="_x0000_s1074" o:spid="_x0000_s1074" o:spt="32" type="#_x0000_t32" style="position:absolute;left:1703;top:7734;height:474;width:0;" o:connectortype="straight" filled="f" coordsize="21600,21600">
                <v:path arrowok="t"/>
                <v:fill on="f" focussize="0,0"/>
                <v:stroke endarrow="block"/>
                <v:imagedata o:title=""/>
                <o:lock v:ext="edit"/>
              </v:shape>
              <v:shape id="_x0000_s1075" o:spid="_x0000_s1075" o:spt="32" type="#_x0000_t32" style="position:absolute;left:4917;top:7778;height:0;width:1453;" o:connectortype="straight" filled="f" coordsize="21600,21600">
                <v:path arrowok="t"/>
                <v:fill on="f" focussize="0,0"/>
                <v:stroke/>
                <v:imagedata o:title=""/>
                <o:lock v:ext="edit"/>
              </v:shape>
              <v:shape id="_x0000_s1077" o:spid="_x0000_s1077" o:spt="32" type="#_x0000_t32" style="position:absolute;left:6370;top:7797;height:474;width:0;" o:connectortype="straight" filled="f" coordsize="21600,21600">
                <v:path arrowok="t"/>
                <v:fill on="f" focussize="0,0"/>
                <v:stroke endarrow="block"/>
                <v:imagedata o:title=""/>
                <o:lock v:ext="edit"/>
              </v:shape>
              <v:shape id="_x0000_s1078" o:spid="_x0000_s1078" o:spt="32" type="#_x0000_t32" style="position:absolute;left:5695;top:7757;height:474;width:0;" o:connectortype="straight" filled="f" coordsize="21600,21600">
                <v:path arrowok="t"/>
                <v:fill on="f" focussize="0,0"/>
                <v:stroke endarrow="block"/>
                <v:imagedata o:title=""/>
                <o:lock v:ext="edit"/>
              </v:shape>
              <v:shape id="_x0000_s1079" o:spid="_x0000_s1079" o:spt="32" type="#_x0000_t32" style="position:absolute;left:4917;top:7757;height:474;width:0;" o:connectortype="straight" filled="f" coordsize="21600,21600">
                <v:path arrowok="t"/>
                <v:fill on="f" focussize="0,0"/>
                <v:stroke endarrow="block"/>
                <v:imagedata o:title=""/>
                <o:lock v:ext="edit"/>
              </v:shape>
              <v:shape id="_x0000_s1080" o:spid="_x0000_s1080" o:spt="32" type="#_x0000_t32" style="position:absolute;left:7367;top:7673;height:0;width:3215;" o:connectortype="straight" filled="f" coordsize="21600,21600">
                <v:path arrowok="t"/>
                <v:fill on="f" focussize="0,0"/>
                <v:stroke/>
                <v:imagedata o:title=""/>
                <o:lock v:ext="edit"/>
              </v:shape>
              <v:shape id="_x0000_s1081" o:spid="_x0000_s1081" o:spt="32" type="#_x0000_t32" style="position:absolute;left:9918;top:7672;height:475;width:0;" o:connectortype="straight" filled="f" coordsize="21600,21600">
                <v:path arrowok="t"/>
                <v:fill on="f" focussize="0,0"/>
                <v:stroke endarrow="block"/>
                <v:imagedata o:title=""/>
                <o:lock v:ext="edit"/>
              </v:shape>
              <v:shape id="_x0000_s1082" o:spid="_x0000_s1082" o:spt="32" type="#_x0000_t32" style="position:absolute;left:9197;top:7673;height:475;width:0;" o:connectortype="straight" filled="f" coordsize="21600,21600">
                <v:path arrowok="t"/>
                <v:fill on="f" focussize="0,0"/>
                <v:stroke endarrow="block"/>
                <v:imagedata o:title=""/>
                <o:lock v:ext="edit"/>
              </v:shape>
              <v:shape id="_x0000_s1083" o:spid="_x0000_s1083" o:spt="32" type="#_x0000_t32" style="position:absolute;left:8648;top:7673;height:475;width:0;" o:connectortype="straight" filled="f" coordsize="21600,21600">
                <v:path arrowok="t"/>
                <v:fill on="f" focussize="0,0"/>
                <v:stroke endarrow="block"/>
                <v:imagedata o:title=""/>
                <o:lock v:ext="edit"/>
              </v:shape>
              <v:shape id="_x0000_s1084" o:spid="_x0000_s1084" o:spt="32" type="#_x0000_t32" style="position:absolute;left:8065;top:7673;height:475;width:0;" o:connectortype="straight" filled="f" coordsize="21600,21600">
                <v:path arrowok="t"/>
                <v:fill on="f" focussize="0,0"/>
                <v:stroke endarrow="block"/>
                <v:imagedata o:title=""/>
                <o:lock v:ext="edit"/>
              </v:shape>
              <v:shape id="_x0000_s1085" o:spid="_x0000_s1085" o:spt="32" type="#_x0000_t32" style="position:absolute;left:7367;top:7673;height:475;width:0;" o:connectortype="straight" filled="f" coordsize="21600,21600">
                <v:path arrowok="t"/>
                <v:fill on="f" focussize="0,0"/>
                <v:stroke endarrow="block"/>
                <v:imagedata o:title=""/>
                <o:lock v:ext="edit"/>
              </v:shape>
              <v:shape id="_x0000_s1086" o:spid="_x0000_s1086" o:spt="202" type="#_x0000_t202" style="position:absolute;left:1395;top:8231;height:2157;width:526;" coordsize="21600,21600">
                <v:path/>
                <v:fill focussize="0,0"/>
                <v:stroke joinstyle="miter"/>
                <v:imagedata o:title=""/>
                <o:lock v:ext="edit"/>
                <v:textbox style="layout-flow:vertical-ideographic;">
                  <w:txbxContent>
                    <w:p>
                      <w:r>
                        <w:rPr>
                          <w:rFonts w:hint="eastAsia"/>
                        </w:rPr>
                        <w:t>教学工作考核</w:t>
                      </w:r>
                    </w:p>
                  </w:txbxContent>
                </v:textbox>
              </v:shape>
              <v:shape id="_x0000_s1088" o:spid="_x0000_s1088" o:spt="202" type="#_x0000_t202" style="position:absolute;left:6153;top:8252;height:2157;width:526;" coordsize="21600,21600">
                <v:path/>
                <v:fill focussize="0,0"/>
                <v:stroke joinstyle="miter"/>
                <v:imagedata o:title=""/>
                <o:lock v:ext="edit"/>
                <v:textbox style="layout-flow:vertical-ideographic;">
                  <w:txbxContent>
                    <w:p>
                      <w:r>
                        <w:rPr>
                          <w:rFonts w:hint="eastAsia"/>
                        </w:rPr>
                        <w:t>教学工作量考核</w:t>
                      </w:r>
                    </w:p>
                  </w:txbxContent>
                </v:textbox>
              </v:shape>
              <v:shape id="_x0000_s1089" o:spid="_x0000_s1089" o:spt="202" type="#_x0000_t202" style="position:absolute;left:4657;top:8208;height:2306;width:527;" coordsize="21600,21600">
                <v:path/>
                <v:fill focussize="0,0"/>
                <v:stroke joinstyle="miter"/>
                <v:imagedata o:title=""/>
                <o:lock v:ext="edit"/>
                <v:textbox style="layout-flow:vertical-ideographic;">
                  <w:txbxContent>
                    <w:p>
                      <w:r>
                        <w:rPr>
                          <w:rFonts w:hint="eastAsia"/>
                        </w:rPr>
                        <w:t>人才培养创新工作考核</w:t>
                      </w:r>
                    </w:p>
                  </w:txbxContent>
                </v:textbox>
              </v:shape>
              <v:shape id="_x0000_s1090" o:spid="_x0000_s1090" o:spt="202" type="#_x0000_t202" style="position:absolute;left:5409;top:8271;height:2157;width:526;" coordsize="21600,21600">
                <v:path/>
                <v:fill focussize="0,0"/>
                <v:stroke joinstyle="miter"/>
                <v:imagedata o:title=""/>
                <o:lock v:ext="edit"/>
                <v:textbox style="layout-flow:vertical-ideographic;">
                  <w:txbxContent>
                    <w:p>
                      <w:r>
                        <w:rPr>
                          <w:rFonts w:hint="eastAsia"/>
                        </w:rPr>
                        <w:t>教学管理工作考核</w:t>
                      </w:r>
                    </w:p>
                  </w:txbxContent>
                </v:textbox>
              </v:shape>
              <v:shape id="_x0000_s1091" o:spid="_x0000_s1091" o:spt="202" type="#_x0000_t202" style="position:absolute;left:2722;top:8271;height:2157;width:526;" coordsize="21600,21600">
                <v:path/>
                <v:fill focussize="0,0"/>
                <v:stroke joinstyle="miter"/>
                <v:imagedata o:title=""/>
                <o:lock v:ext="edit"/>
                <v:textbox style="layout-flow:vertical-ideographic;">
                  <w:txbxContent>
                    <w:p>
                      <w:r>
                        <w:rPr>
                          <w:rFonts w:hint="eastAsia"/>
                        </w:rPr>
                        <w:t>教学服务工作考核</w:t>
                      </w:r>
                    </w:p>
                  </w:txbxContent>
                </v:textbox>
              </v:shape>
              <v:shape id="_x0000_s1092" o:spid="_x0000_s1092" o:spt="202" type="#_x0000_t202" style="position:absolute;left:2046;top:8252;height:2157;width:527;" coordsize="21600,21600">
                <v:path/>
                <v:fill focussize="0,0"/>
                <v:stroke joinstyle="miter"/>
                <v:imagedata o:title=""/>
                <o:lock v:ext="edit"/>
                <v:textbox style="layout-flow:vertical-ideographic;">
                  <w:txbxContent>
                    <w:p>
                      <w:r>
                        <w:rPr>
                          <w:rFonts w:hint="eastAsia"/>
                        </w:rPr>
                        <w:t>教科研工作考核</w:t>
                      </w:r>
                    </w:p>
                  </w:txbxContent>
                </v:textbox>
              </v:shape>
              <v:shape id="_x0000_s1093" o:spid="_x0000_s1093" o:spt="202" type="#_x0000_t202" style="position:absolute;left:10291;top:8231;height:2157;width:526;" coordsize="21600,21600">
                <v:path/>
                <v:fill focussize="0,0"/>
                <v:stroke joinstyle="miter"/>
                <v:imagedata o:title=""/>
                <o:lock v:ext="edit"/>
                <v:textbox style="layout-flow:vertical-ideographic;">
                  <w:txbxContent>
                    <w:p>
                      <w:r>
                        <w:rPr>
                          <w:rFonts w:hint="eastAsia"/>
                        </w:rPr>
                        <w:t>教学管理综合评价</w:t>
                      </w:r>
                    </w:p>
                  </w:txbxContent>
                </v:textbox>
              </v:shape>
              <v:shape id="_x0000_s1094" o:spid="_x0000_s1094" o:spt="202" type="#_x0000_t202" style="position:absolute;left:9628;top:8208;height:2156;width:527;" coordsize="21600,21600">
                <v:path/>
                <v:fill focussize="0,0"/>
                <v:stroke joinstyle="miter"/>
                <v:imagedata o:title=""/>
                <o:lock v:ext="edit"/>
                <v:textbox style="layout-flow:vertical-ideographic;">
                  <w:txbxContent>
                    <w:p>
                      <w:r>
                        <w:rPr>
                          <w:rFonts w:hint="eastAsia"/>
                        </w:rPr>
                        <w:t>科研管理工作考核</w:t>
                      </w:r>
                    </w:p>
                  </w:txbxContent>
                </v:textbox>
              </v:shape>
              <v:shape id="_x0000_s1095" o:spid="_x0000_s1095" o:spt="202" type="#_x0000_t202" style="position:absolute;left:8963;top:8208;height:2156;width:526;" coordsize="21600,21600">
                <v:path/>
                <v:fill focussize="0,0"/>
                <v:stroke joinstyle="miter"/>
                <v:imagedata o:title=""/>
                <o:lock v:ext="edit"/>
                <v:textbox style="layout-flow:vertical-ideographic;">
                  <w:txbxContent>
                    <w:p>
                      <w:r>
                        <w:rPr>
                          <w:rFonts w:hint="eastAsia"/>
                        </w:rPr>
                        <w:t>教研管理工和考核</w:t>
                      </w:r>
                    </w:p>
                  </w:txbxContent>
                </v:textbox>
              </v:shape>
              <v:shape id="_x0000_s1096" o:spid="_x0000_s1096" o:spt="202" type="#_x0000_t202" style="position:absolute;left:8334;top:8208;height:2156;width:526;" coordsize="21600,21600">
                <v:path/>
                <v:fill focussize="0,0"/>
                <v:stroke joinstyle="miter"/>
                <v:imagedata o:title=""/>
                <o:lock v:ext="edit"/>
                <v:textbox style="layout-flow:vertical-ideographic;">
                  <w:txbxContent>
                    <w:p>
                      <w:r>
                        <w:rPr>
                          <w:rFonts w:hint="eastAsia"/>
                        </w:rPr>
                        <w:t>实践教学管理考核</w:t>
                      </w:r>
                    </w:p>
                  </w:txbxContent>
                </v:textbox>
              </v:shape>
              <v:shape id="_x0000_s1097" o:spid="_x0000_s1097" o:spt="202" type="#_x0000_t202" style="position:absolute;left:7705;top:8208;height:2156;width:527;" coordsize="21600,21600">
                <v:path/>
                <v:fill focussize="0,0"/>
                <v:stroke joinstyle="miter"/>
                <v:imagedata o:title=""/>
                <o:lock v:ext="edit"/>
                <v:textbox style="layout-flow:vertical-ideographic;">
                  <w:txbxContent>
                    <w:p>
                      <w:r>
                        <w:rPr>
                          <w:rFonts w:hint="eastAsia"/>
                        </w:rPr>
                        <w:t>考试管理工作考核</w:t>
                      </w:r>
                    </w:p>
                  </w:txbxContent>
                </v:textbox>
              </v:shape>
              <v:shape id="_x0000_s1098" o:spid="_x0000_s1098" o:spt="202" type="#_x0000_t202" style="position:absolute;left:7072;top:8208;height:2156;width:526;" coordsize="21600,21600">
                <v:path/>
                <v:fill focussize="0,0"/>
                <v:stroke joinstyle="miter"/>
                <v:imagedata o:title=""/>
                <o:lock v:ext="edit"/>
                <v:textbox style="layout-flow:vertical-ideographic;">
                  <w:txbxContent>
                    <w:p>
                      <w:r>
                        <w:rPr>
                          <w:rFonts w:hint="eastAsia"/>
                        </w:rPr>
                        <w:t>教学运行工作考核</w:t>
                      </w:r>
                    </w:p>
                  </w:txbxContent>
                </v:textbox>
              </v:shape>
              <v:shape id="_x0000_s1102" o:spid="_x0000_s1102" o:spt="32" type="#_x0000_t32" style="position:absolute;left:10582;top:7672;height:475;width:0;" o:connectortype="straight" filled="f" coordsize="21600,21600">
                <v:path arrowok="t"/>
                <v:fill on="f" focussize="0,0"/>
                <v:stroke endarrow="block"/>
                <v:imagedata o:title=""/>
                <o:lock v:ext="edit"/>
              </v:shape>
              <v:shape id="_x0000_s1103" o:spid="_x0000_s1103" o:spt="32" type="#_x0000_t32" style="position:absolute;left:3762;top:7797;height:474;width:0;" o:connectortype="straight" filled="f" coordsize="21600,21600">
                <v:path arrowok="t"/>
                <v:fill on="f" focussize="0,0"/>
                <v:stroke endarrow="block"/>
                <v:imagedata o:title=""/>
                <o:lock v:ext="edit"/>
              </v:shape>
              <v:shape id="_x0000_s1104" o:spid="_x0000_s1104" o:spt="202" type="#_x0000_t202" style="position:absolute;left:3487;top:8271;height:2157;width:527;" coordsize="21600,21600">
                <v:path/>
                <v:fill focussize="0,0"/>
                <v:stroke joinstyle="miter"/>
                <v:imagedata o:title=""/>
                <o:lock v:ext="edit"/>
                <v:textbox style="layout-flow:vertical-ideographic;">
                  <w:txbxContent>
                    <w:p>
                      <w:r>
                        <w:rPr>
                          <w:rFonts w:hint="eastAsia"/>
                        </w:rPr>
                        <w:t>特殊加减分项汇总</w:t>
                      </w:r>
                    </w:p>
                  </w:txbxContent>
                </v:textbox>
              </v:shape>
              <v:shape id="_x0000_s1105" o:spid="_x0000_s1105" o:spt="32" type="#_x0000_t32" style="position:absolute;left:1645;top:10385;height:475;width:0;" o:connectortype="straight" filled="f" coordsize="21600,21600">
                <v:path arrowok="t"/>
                <v:fill on="f" focussize="0,0"/>
                <v:stroke endarrow="block"/>
                <v:imagedata o:title=""/>
                <o:lock v:ext="edit"/>
              </v:shape>
              <v:shape id="_x0000_s1106" o:spid="_x0000_s1106" o:spt="202" type="#_x0000_t202" style="position:absolute;left:1336;top:10883;height:2679;width:526;" coordsize="21600,21600">
                <v:path/>
                <v:fill focussize="0,0"/>
                <v:stroke joinstyle="miter"/>
                <v:imagedata o:title=""/>
                <o:lock v:ext="edit"/>
                <v:textbox style="layout-flow:vertical-ideographic;">
                  <w:txbxContent>
                    <w:p>
                      <w:r>
                        <w:rPr>
                          <w:rFonts w:hint="eastAsia"/>
                        </w:rPr>
                        <w:t>教学工作选项考核</w:t>
                      </w:r>
                    </w:p>
                  </w:txbxContent>
                </v:textbox>
              </v:shape>
              <v:shape id="_x0000_s1107" o:spid="_x0000_s1107" o:spt="32" type="#_x0000_t32" style="position:absolute;left:2334;top:10393;height:474;width:0;" o:connectortype="straight" filled="f" coordsize="21600,21600">
                <v:path arrowok="t"/>
                <v:fill on="f" focussize="0,0"/>
                <v:stroke endarrow="block"/>
                <v:imagedata o:title=""/>
                <o:lock v:ext="edit"/>
              </v:shape>
              <v:shape id="_x0000_s1108" o:spid="_x0000_s1108" o:spt="202" type="#_x0000_t202" style="position:absolute;left:2025;top:10890;height:2672;width:527;" coordsize="21600,21600">
                <v:path/>
                <v:fill focussize="0,0"/>
                <v:stroke joinstyle="miter"/>
                <v:imagedata o:title=""/>
                <o:lock v:ext="edit"/>
                <v:textbox style="layout-flow:vertical-ideographic;">
                  <w:txbxContent>
                    <w:p>
                      <w:r>
                        <w:rPr>
                          <w:rFonts w:hint="eastAsia"/>
                        </w:rPr>
                        <w:t>教科研工作选项考核</w:t>
                      </w:r>
                    </w:p>
                  </w:txbxContent>
                </v:textbox>
              </v:shape>
              <v:shape id="_x0000_s1109" o:spid="_x0000_s1109" o:spt="32" type="#_x0000_t32" style="position:absolute;left:5695;top:10416;height:474;width:0;" o:connectortype="straight" filled="f" coordsize="21600,21600">
                <v:path arrowok="t"/>
                <v:fill on="f" focussize="0,0"/>
                <v:stroke endarrow="block"/>
                <v:imagedata o:title=""/>
                <o:lock v:ext="edit"/>
              </v:shape>
              <v:shape id="_x0000_s1110" o:spid="_x0000_s1110" o:spt="32" type="#_x0000_t32" style="position:absolute;left:3762;top:10860;height:0;width:3775;" o:connectortype="straight" filled="f" coordsize="21600,21600">
                <v:path arrowok="t"/>
                <v:fill on="f" focussize="0,0"/>
                <v:stroke/>
                <v:imagedata o:title=""/>
                <o:lock v:ext="edit"/>
              </v:shape>
              <v:shape id="_x0000_s1111" o:spid="_x0000_s1111" o:spt="32" type="#_x0000_t32" style="position:absolute;left:6954;top:10890;height:475;width:0;" o:connectortype="straight" filled="f" coordsize="21600,21600">
                <v:path arrowok="t"/>
                <v:fill on="f" focussize="0,0"/>
                <v:stroke endarrow="block"/>
                <v:imagedata o:title=""/>
                <o:lock v:ext="edit"/>
              </v:shape>
              <v:shape id="_x0000_s1112" o:spid="_x0000_s1112" o:spt="32" type="#_x0000_t32" style="position:absolute;left:7537;top:10867;height:475;width:0;" o:connectortype="straight" filled="f" coordsize="21600,21600">
                <v:path arrowok="t"/>
                <v:fill on="f" focussize="0,0"/>
                <v:stroke endarrow="block"/>
                <v:imagedata o:title=""/>
                <o:lock v:ext="edit"/>
              </v:shape>
              <v:shape id="_x0000_s1114" o:spid="_x0000_s1114" o:spt="32" type="#_x0000_t32" style="position:absolute;left:6302;top:10883;height:474;width:0;" o:connectortype="straight" filled="f" coordsize="21600,21600">
                <v:path arrowok="t"/>
                <v:fill on="f" focussize="0,0"/>
                <v:stroke endarrow="block"/>
                <v:imagedata o:title=""/>
                <o:lock v:ext="edit"/>
              </v:shape>
              <v:shape id="_x0000_s1115" o:spid="_x0000_s1115" o:spt="32" type="#_x0000_t32" style="position:absolute;left:5695;top:10883;height:474;width:0;" o:connectortype="straight" filled="f" coordsize="21600,21600">
                <v:path arrowok="t"/>
                <v:fill on="f" focussize="0,0"/>
                <v:stroke endarrow="block"/>
                <v:imagedata o:title=""/>
                <o:lock v:ext="edit"/>
              </v:shape>
              <v:shape id="_x0000_s1116" o:spid="_x0000_s1116" o:spt="32" type="#_x0000_t32" style="position:absolute;left:4357;top:10860;height:474;width:0;" o:connectortype="straight" filled="f" coordsize="21600,21600">
                <v:path arrowok="t"/>
                <v:fill on="f" focussize="0,0"/>
                <v:stroke endarrow="block"/>
                <v:imagedata o:title=""/>
                <o:lock v:ext="edit"/>
              </v:shape>
              <v:shape id="_x0000_s1117" o:spid="_x0000_s1117" o:spt="32" type="#_x0000_t32" style="position:absolute;left:3762;top:10867;height:475;width:0;" o:connectortype="straight" filled="f" coordsize="21600,21600">
                <v:path arrowok="t"/>
                <v:fill on="f" focussize="0,0"/>
                <v:stroke endarrow="block"/>
                <v:imagedata o:title=""/>
                <o:lock v:ext="edit"/>
              </v:shape>
              <v:shape id="_x0000_s1118" o:spid="_x0000_s1118" o:spt="202" type="#_x0000_t202" style="position:absolute;left:7309;top:11334;height:2156;width:526;" coordsize="21600,21600">
                <v:path/>
                <v:fill focussize="0,0"/>
                <v:stroke joinstyle="miter"/>
                <v:imagedata o:title=""/>
                <o:lock v:ext="edit"/>
                <v:textbox style="layout-flow:vertical-ideographic;">
                  <w:txbxContent>
                    <w:p>
                      <w:r>
                        <w:rPr>
                          <w:rFonts w:hint="eastAsia"/>
                        </w:rPr>
                        <w:t>教学管理综合评价</w:t>
                      </w:r>
                    </w:p>
                  </w:txbxContent>
                </v:textbox>
              </v:shape>
              <v:shape id="_x0000_s1119" o:spid="_x0000_s1119" o:spt="202" type="#_x0000_t202" style="position:absolute;left:6679;top:11343;height:2156;width:527;" coordsize="21600,21600">
                <v:path/>
                <v:fill focussize="0,0"/>
                <v:stroke joinstyle="miter"/>
                <v:imagedata o:title=""/>
                <o:lock v:ext="edit"/>
                <v:textbox style="layout-flow:vertical-ideographic;">
                  <w:txbxContent>
                    <w:p>
                      <w:r>
                        <w:rPr>
                          <w:rFonts w:hint="eastAsia"/>
                        </w:rPr>
                        <w:t>学生评教工作</w:t>
                      </w:r>
                    </w:p>
                  </w:txbxContent>
                </v:textbox>
              </v:shape>
              <v:shape id="_x0000_s1120" o:spid="_x0000_s1120" o:spt="202" type="#_x0000_t202" style="position:absolute;left:4131;top:11334;height:2156;width:526;" coordsize="21600,21600">
                <v:path/>
                <v:fill focussize="0,0"/>
                <v:stroke joinstyle="miter"/>
                <v:imagedata o:title=""/>
                <o:lock v:ext="edit"/>
                <v:textbox style="layout-flow:vertical-ideographic;">
                  <w:txbxContent>
                    <w:p>
                      <w:r>
                        <w:rPr>
                          <w:rFonts w:hint="eastAsia"/>
                        </w:rPr>
                        <w:t>考试及成绩管理</w:t>
                      </w:r>
                    </w:p>
                  </w:txbxContent>
                </v:textbox>
              </v:shape>
              <v:shape id="_x0000_s1121" o:spid="_x0000_s1121" o:spt="202" type="#_x0000_t202" style="position:absolute;left:6050;top:11365;height:2156;width:526;" coordsize="21600,21600">
                <v:path/>
                <v:fill focussize="0,0"/>
                <v:stroke joinstyle="miter"/>
                <v:imagedata o:title=""/>
                <o:lock v:ext="edit"/>
                <v:textbox style="layout-flow:vertical-ideographic;">
                  <w:txbxContent>
                    <w:p>
                      <w:r>
                        <w:rPr>
                          <w:rFonts w:hint="eastAsia"/>
                        </w:rPr>
                        <w:t>教学检查工作</w:t>
                      </w:r>
                    </w:p>
                  </w:txbxContent>
                </v:textbox>
              </v:shape>
              <v:shape id="_x0000_s1122" o:spid="_x0000_s1122" o:spt="202" type="#_x0000_t202" style="position:absolute;left:5409;top:11357;height:2157;width:526;" coordsize="21600,21600">
                <v:path/>
                <v:fill focussize="0,0"/>
                <v:stroke joinstyle="miter"/>
                <v:imagedata o:title=""/>
                <o:lock v:ext="edit"/>
                <v:textbox style="layout-flow:vertical-ideographic;">
                  <w:txbxContent>
                    <w:p>
                      <w:r>
                        <w:rPr>
                          <w:rFonts w:hint="eastAsia"/>
                        </w:rPr>
                        <w:t>教学管理任务情况</w:t>
                      </w:r>
                    </w:p>
                  </w:txbxContent>
                </v:textbox>
              </v:shape>
              <v:shape id="_x0000_s1123" o:spid="_x0000_s1123" o:spt="202" type="#_x0000_t202" style="position:absolute;left:3487;top:11334;height:2156;width:527;" coordsize="21600,21600">
                <v:path/>
                <v:fill focussize="0,0"/>
                <v:stroke joinstyle="miter"/>
                <v:imagedata o:title=""/>
                <o:lock v:ext="edit"/>
                <v:textbox style="layout-flow:vertical-ideographic;">
                  <w:txbxContent>
                    <w:p>
                      <w:r>
                        <w:rPr>
                          <w:rFonts w:hint="eastAsia"/>
                        </w:rPr>
                        <w:t>课堂教学运行</w:t>
                      </w:r>
                    </w:p>
                  </w:txbxContent>
                </v:textbox>
              </v:shape>
              <v:shape id="_x0000_s1124" o:spid="_x0000_s1124" o:spt="32" type="#_x0000_t32" style="position:absolute;left:5032;top:10883;height:474;width:0;" o:connectortype="straight" filled="f" coordsize="21600,21600">
                <v:path arrowok="t"/>
                <v:fill on="f" focussize="0,0"/>
                <v:stroke endarrow="block"/>
                <v:imagedata o:title=""/>
                <o:lock v:ext="edit"/>
              </v:shape>
              <v:shape id="_x0000_s1125" o:spid="_x0000_s1125" o:spt="202" type="#_x0000_t202" style="position:absolute;left:4768;top:11343;height:2156;width:527;" coordsize="21600,21600">
                <v:path/>
                <v:fill focussize="0,0"/>
                <v:stroke joinstyle="miter"/>
                <v:imagedata o:title=""/>
                <o:lock v:ext="edit"/>
                <v:textbox style="layout-flow:vertical-ideographic;">
                  <w:txbxContent>
                    <w:p>
                      <w:r>
                        <w:rPr>
                          <w:rFonts w:hint="eastAsia"/>
                        </w:rPr>
                        <w:t>集中性实践教学</w:t>
                      </w:r>
                    </w:p>
                  </w:txbxContent>
                </v:textbox>
              </v:shape>
              <v:shape id="_x0000_s1130" o:spid="_x0000_s1130" o:spt="32" type="#_x0000_t32" style="position:absolute;left:8545;top:10867;height:16;width:1155;" o:connectortype="straight" filled="f" coordsize="21600,21600">
                <v:path arrowok="t"/>
                <v:fill on="f" focussize="0,0"/>
                <v:stroke/>
                <v:imagedata o:title=""/>
                <o:lock v:ext="edit"/>
              </v:shape>
              <v:shape id="_x0000_s1131" o:spid="_x0000_s1131" o:spt="32" type="#_x0000_t32" style="position:absolute;left:9700;top:10892;height:474;width:0;" o:connectortype="straight" filled="f" coordsize="21600,21600">
                <v:path arrowok="t"/>
                <v:fill on="f" focussize="0,0"/>
                <v:stroke endarrow="block"/>
                <v:imagedata o:title=""/>
                <o:lock v:ext="edit"/>
              </v:shape>
              <v:shape id="_x0000_s1132" o:spid="_x0000_s1132" o:spt="32" type="#_x0000_t32" style="position:absolute;left:8545;top:10892;height:474;width:0;" o:connectortype="straight" filled="f" coordsize="21600,21600">
                <v:path arrowok="t"/>
                <v:fill on="f" focussize="0,0"/>
                <v:stroke endarrow="block"/>
                <v:imagedata o:title=""/>
                <o:lock v:ext="edit"/>
              </v:shape>
              <v:shape id="_x0000_s1133" o:spid="_x0000_s1133" o:spt="202" type="#_x0000_t202" style="position:absolute;left:9392;top:11334;height:2156;width:526;" coordsize="21600,21600">
                <v:path/>
                <v:fill focussize="0,0"/>
                <v:stroke joinstyle="miter"/>
                <v:imagedata o:title=""/>
                <o:lock v:ext="edit"/>
                <v:textbox style="layout-flow:vertical-ideographic;">
                  <w:txbxContent>
                    <w:p>
                      <w:r>
                        <w:rPr>
                          <w:rFonts w:hint="eastAsia"/>
                        </w:rPr>
                        <w:t>实践教学工作量</w:t>
                      </w:r>
                    </w:p>
                  </w:txbxContent>
                </v:textbox>
              </v:shape>
              <v:shape id="_x0000_s1134" o:spid="_x0000_s1134" o:spt="202" type="#_x0000_t202" style="position:absolute;left:8232;top:11334;height:2156;width:526;" coordsize="21600,21600">
                <v:path/>
                <v:fill focussize="0,0"/>
                <v:stroke joinstyle="miter"/>
                <v:imagedata o:title=""/>
                <o:lock v:ext="edit"/>
                <v:textbox style="layout-flow:vertical-ideographic;">
                  <w:txbxContent>
                    <w:p>
                      <w:r>
                        <w:rPr>
                          <w:rFonts w:hint="eastAsia"/>
                        </w:rPr>
                        <w:t>理论教学工作量</w:t>
                      </w:r>
                    </w:p>
                  </w:txbxContent>
                </v:textbox>
              </v:shape>
              <v:shape id="_x0000_s1135" o:spid="_x0000_s1135" o:spt="32" type="#_x0000_t32" style="position:absolute;left:9334;top:14007;height:0;width:740;" o:connectortype="straight" filled="f" coordsize="21600,21600">
                <v:path arrowok="t"/>
                <v:fill on="f" focussize="0,0"/>
                <v:stroke/>
                <v:imagedata o:title=""/>
                <o:lock v:ext="edit"/>
              </v:shape>
              <v:shape id="_x0000_s1136" o:spid="_x0000_s1136" o:spt="32" type="#_x0000_t32" style="position:absolute;left:7946;top:14005;height:474;width:0;" o:connectortype="straight" filled="f" coordsize="21600,21600">
                <v:path arrowok="t"/>
                <v:fill on="f" focussize="0,0"/>
                <v:stroke endarrow="block"/>
                <v:imagedata o:title=""/>
                <o:lock v:ext="edit"/>
              </v:shape>
              <v:shape id="_x0000_s1137" o:spid="_x0000_s1137" o:spt="32" type="#_x0000_t32" style="position:absolute;left:8758;top:14005;height:474;width:0;" o:connectortype="straight" filled="f" coordsize="21600,21600">
                <v:path arrowok="t"/>
                <v:fill on="f" focussize="0,0"/>
                <v:stroke endarrow="block"/>
                <v:imagedata o:title=""/>
                <o:lock v:ext="edit"/>
              </v:shape>
              <v:shape id="_x0000_s1138" o:spid="_x0000_s1138" o:spt="32" type="#_x0000_t32" style="position:absolute;left:9700;top:13514;height:474;width:0;" o:connectortype="straight" filled="f" coordsize="21600,21600">
                <v:path arrowok="t"/>
                <v:fill on="f" focussize="0,0"/>
                <v:stroke endarrow="block"/>
                <v:imagedata o:title=""/>
                <o:lock v:ext="edit"/>
              </v:shape>
              <v:shape id="_x0000_s1139" o:spid="_x0000_s1139" o:spt="32" type="#_x0000_t32" style="position:absolute;left:8418;top:13531;height:474;width:0;" o:connectortype="straight" filled="f" coordsize="21600,21600">
                <v:path arrowok="t"/>
                <v:fill on="f" focussize="0,0"/>
                <v:stroke endarrow="block"/>
                <v:imagedata o:title=""/>
                <o:lock v:ext="edit"/>
              </v:shape>
              <v:shape id="_x0000_s1140" o:spid="_x0000_s1140" o:spt="32" type="#_x0000_t32" style="position:absolute;left:7946;top:14005;height:0;width:812;" o:connectortype="straight" filled="f" coordsize="21600,21600">
                <v:path arrowok="t"/>
                <v:fill on="f" focussize="0,0"/>
                <v:stroke/>
                <v:imagedata o:title=""/>
                <o:lock v:ext="edit"/>
              </v:shape>
              <v:shape id="_x0000_s1141" o:spid="_x0000_s1141" o:spt="32" type="#_x0000_t32" style="position:absolute;left:10074;top:13988;height:474;width:0;" o:connectortype="straight" filled="f" coordsize="21600,21600">
                <v:path arrowok="t"/>
                <v:fill on="f" focussize="0,0"/>
                <v:stroke endarrow="block"/>
                <v:imagedata o:title=""/>
                <o:lock v:ext="edit"/>
              </v:shape>
              <v:shape id="_x0000_s1142" o:spid="_x0000_s1142" o:spt="32" type="#_x0000_t32" style="position:absolute;left:9334;top:14006;height:474;width:0;" o:connectortype="straight" filled="f" coordsize="21600,21600">
                <v:path arrowok="t"/>
                <v:fill on="f" focussize="0,0"/>
                <v:stroke endarrow="block"/>
                <v:imagedata o:title=""/>
                <o:lock v:ext="edit"/>
              </v:shape>
              <v:shape id="_x0000_s1143" o:spid="_x0000_s1143" o:spt="202" type="#_x0000_t202" style="position:absolute;left:7705;top:14479;height:2352;width:527;" coordsize="21600,21600">
                <v:path/>
                <v:fill focussize="0,0"/>
                <v:stroke joinstyle="miter"/>
                <v:imagedata o:title=""/>
                <o:lock v:ext="edit"/>
                <v:textbox style="layout-flow:vertical-ideographic;">
                  <w:txbxContent>
                    <w:p>
                      <w:r>
                        <w:rPr>
                          <w:rFonts w:hint="eastAsia"/>
                        </w:rPr>
                        <w:t>理论教学过程材料审核</w:t>
                      </w:r>
                    </w:p>
                  </w:txbxContent>
                </v:textbox>
              </v:shape>
              <v:shape id="_x0000_s1144" o:spid="_x0000_s1144" o:spt="202" type="#_x0000_t202" style="position:absolute;left:8436;top:14479;height:2218;width:527;" coordsize="21600,21600">
                <v:path/>
                <v:fill focussize="0,0"/>
                <v:stroke joinstyle="miter"/>
                <v:imagedata o:title=""/>
                <o:lock v:ext="edit"/>
                <v:textbox style="layout-flow:vertical-ideographic;">
                  <w:txbxContent>
                    <w:p>
                      <w:r>
                        <w:rPr>
                          <w:rFonts w:hint="eastAsia"/>
                        </w:rPr>
                        <w:t>计算理论教学工作量</w:t>
                      </w:r>
                    </w:p>
                  </w:txbxContent>
                </v:textbox>
              </v:shape>
              <v:shape id="_x0000_s1145" o:spid="_x0000_s1145" o:spt="202" type="#_x0000_t202" style="position:absolute;left:9102;top:14462;height:2235;width:526;" coordsize="21600,21600">
                <v:path/>
                <v:fill focussize="0,0"/>
                <v:stroke joinstyle="miter"/>
                <v:imagedata o:title=""/>
                <o:lock v:ext="edit"/>
                <v:textbox style="layout-flow:vertical-ideographic;">
                  <w:txbxContent>
                    <w:p>
                      <w:r>
                        <w:rPr>
                          <w:rFonts w:hint="eastAsia"/>
                        </w:rPr>
                        <w:t>实践教学过程材料审核核</w:t>
                      </w:r>
                    </w:p>
                  </w:txbxContent>
                </v:textbox>
              </v:shape>
              <v:shape id="_x0000_s1146" o:spid="_x0000_s1146" o:spt="202" type="#_x0000_t202" style="position:absolute;left:9838;top:14479;height:2157;width:526;" coordsize="21600,21600">
                <v:path/>
                <v:fill focussize="0,0"/>
                <v:stroke joinstyle="miter"/>
                <v:imagedata o:title=""/>
                <o:lock v:ext="edit"/>
                <v:textbox style="layout-flow:vertical-ideographic;">
                  <w:txbxContent>
                    <w:p>
                      <w:r>
                        <w:rPr>
                          <w:rFonts w:hint="eastAsia"/>
                        </w:rPr>
                        <w:t>理论教学工作量核算</w:t>
                      </w:r>
                    </w:p>
                  </w:txbxContent>
                </v:textbox>
              </v:shape>
            </v:group>
          </v:group>
        </w:pic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utoSpaceDE w:val="0"/>
        <w:autoSpaceDN w:val="0"/>
        <w:spacing w:line="360" w:lineRule="auto"/>
        <w:ind w:firstLine="472" w:firstLineChars="196"/>
        <w:outlineLvl w:val="3"/>
        <w:rPr>
          <w:rFonts w:hint="eastAsia"/>
          <w:b/>
          <w:bCs/>
          <w:sz w:val="24"/>
          <w:szCs w:val="24"/>
        </w:rPr>
      </w:pPr>
      <w:r>
        <w:rPr>
          <w:rFonts w:hint="eastAsia"/>
          <w:b/>
          <w:bCs/>
          <w:sz w:val="24"/>
          <w:szCs w:val="24"/>
        </w:rPr>
        <w:t>五、专任教师考核具体功能描述</w:t>
      </w:r>
    </w:p>
    <w:p>
      <w:pPr>
        <w:autoSpaceDE w:val="0"/>
        <w:autoSpaceDN w:val="0"/>
        <w:spacing w:line="360" w:lineRule="auto"/>
        <w:ind w:firstLine="420" w:firstLineChars="200"/>
        <w:rPr>
          <w:iCs/>
          <w:sz w:val="21"/>
        </w:rPr>
      </w:pPr>
      <w:r>
        <w:rPr>
          <w:rFonts w:hint="eastAsia"/>
          <w:iCs/>
          <w:sz w:val="21"/>
        </w:rPr>
        <w:t>主要考核专任教师系列岗位教职工完成教学工作、教科研工作、教学服务工作所取得的成绩，同时综合考核教师在系（部）层面的各方面工作情况。绩效考核分值计算：总分（85分）＝教学工作（50分）+教科研工作（20分）+教学或科研工作选项分值（10分）+教学服务工作（5分）。</w:t>
      </w:r>
    </w:p>
    <w:p>
      <w:pPr>
        <w:autoSpaceDE w:val="0"/>
        <w:autoSpaceDN w:val="0"/>
        <w:spacing w:line="360" w:lineRule="auto"/>
        <w:ind w:firstLine="420" w:firstLineChars="200"/>
        <w:rPr>
          <w:iCs/>
          <w:sz w:val="21"/>
        </w:rPr>
      </w:pPr>
      <w:r>
        <w:rPr>
          <w:rFonts w:hint="eastAsia"/>
          <w:iCs/>
          <w:sz w:val="21"/>
        </w:rPr>
        <w:t>（一）教学工作（50分）</w:t>
      </w:r>
    </w:p>
    <w:p>
      <w:pPr>
        <w:autoSpaceDE w:val="0"/>
        <w:autoSpaceDN w:val="0"/>
        <w:spacing w:line="360" w:lineRule="auto"/>
        <w:ind w:firstLine="420" w:firstLineChars="200"/>
        <w:rPr>
          <w:iCs/>
          <w:sz w:val="21"/>
        </w:rPr>
      </w:pPr>
      <w:r>
        <w:rPr>
          <w:rFonts w:hint="eastAsia"/>
          <w:iCs/>
          <w:sz w:val="21"/>
        </w:rPr>
        <w:t>根据《东莞理工学院城市学院教学工作量及课时酬金计算暂行办法》中的相关规定计算教学工作量、确定教师额定工作量，并按以下标准计算绩效考核分值。</w:t>
      </w:r>
    </w:p>
    <w:p>
      <w:pPr>
        <w:autoSpaceDE w:val="0"/>
        <w:autoSpaceDN w:val="0"/>
        <w:spacing w:line="360" w:lineRule="auto"/>
        <w:ind w:firstLine="420" w:firstLineChars="200"/>
        <w:rPr>
          <w:iCs/>
          <w:sz w:val="21"/>
        </w:rPr>
      </w:pPr>
      <w:r>
        <w:rPr>
          <w:rFonts w:hint="eastAsia"/>
          <w:iCs/>
          <w:sz w:val="21"/>
        </w:rPr>
        <w:t>1.分值计算</w:t>
      </w:r>
      <w:r>
        <w:rPr>
          <w:rFonts w:hint="eastAsia"/>
          <w:iCs/>
          <w:sz w:val="21"/>
        </w:rPr>
        <w:br w:type="textWrapping"/>
      </w:r>
      <w:r>
        <w:rPr>
          <w:rFonts w:hint="eastAsia"/>
          <w:iCs/>
          <w:sz w:val="21"/>
        </w:rPr>
        <w:t>（1）完成工作量大于等于额定工作量：</w:t>
      </w:r>
      <w:r>
        <w:rPr>
          <w:rFonts w:hint="eastAsia"/>
          <w:iCs/>
          <w:sz w:val="21"/>
        </w:rPr>
        <w:br w:type="textWrapping"/>
      </w:r>
      <w:r>
        <w:rPr>
          <w:rFonts w:hint="eastAsia"/>
          <w:iCs/>
          <w:sz w:val="21"/>
        </w:rPr>
        <w:t xml:space="preserve"> 分数＝50×P(P为教学质量评价系数) </w:t>
      </w:r>
      <w:r>
        <w:rPr>
          <w:rFonts w:hint="eastAsia"/>
          <w:iCs/>
          <w:sz w:val="21"/>
        </w:rPr>
        <w:br w:type="textWrapping"/>
      </w:r>
      <w:r>
        <w:rPr>
          <w:rFonts w:hint="eastAsia"/>
          <w:iCs/>
          <w:sz w:val="21"/>
        </w:rPr>
        <w:t>（2）完成工作量小于额定工作量：</w:t>
      </w:r>
      <w:r>
        <w:rPr>
          <w:rFonts w:hint="eastAsia"/>
          <w:iCs/>
          <w:sz w:val="21"/>
        </w:rPr>
        <w:br w:type="textWrapping"/>
      </w:r>
      <w:r>
        <w:rPr>
          <w:rFonts w:hint="eastAsia"/>
          <w:iCs/>
          <w:sz w:val="21"/>
        </w:rPr>
        <w:t xml:space="preserve"> 分数＝(50-S)×P(S为教学工作完成数量系数，P为教学质量评价系数)</w:t>
      </w:r>
    </w:p>
    <w:p>
      <w:pPr>
        <w:autoSpaceDE w:val="0"/>
        <w:autoSpaceDN w:val="0"/>
        <w:spacing w:line="360" w:lineRule="auto"/>
        <w:ind w:firstLine="420" w:firstLineChars="200"/>
        <w:rPr>
          <w:iCs/>
          <w:sz w:val="21"/>
        </w:rPr>
      </w:pPr>
      <w:r>
        <w:rPr>
          <w:rFonts w:hint="eastAsia"/>
          <w:iCs/>
          <w:sz w:val="21"/>
        </w:rPr>
        <w:t>2.计算说明</w:t>
      </w:r>
      <w:r>
        <w:rPr>
          <w:rFonts w:hint="eastAsia"/>
          <w:iCs/>
          <w:sz w:val="21"/>
        </w:rPr>
        <w:br w:type="textWrapping"/>
      </w:r>
      <w:r>
        <w:rPr>
          <w:rFonts w:hint="eastAsia"/>
          <w:iCs/>
          <w:sz w:val="21"/>
        </w:rPr>
        <w:t xml:space="preserve">（1）教学质量评价系数：P＝1+P1+P2，具体规则如下： </w:t>
      </w:r>
    </w:p>
    <w:p>
      <w:pPr>
        <w:autoSpaceDE w:val="0"/>
        <w:autoSpaceDN w:val="0"/>
        <w:spacing w:line="360" w:lineRule="auto"/>
        <w:ind w:firstLine="420" w:firstLineChars="200"/>
        <w:rPr>
          <w:iCs/>
          <w:sz w:val="21"/>
        </w:rPr>
      </w:pPr>
      <w:r>
        <w:rPr>
          <w:rFonts w:hint="eastAsia"/>
          <w:iCs/>
          <w:sz w:val="21"/>
        </w:rPr>
        <w:t>P1：教师一学年（两学期）学生评教平均分数大于95分的，P1＝0.05；分数小于等于95分，且大于等于80分的，P1＝0；分数小于80分，且大于等于70分的，P1＝-0.05；分数小于70分，且大于等于60分的，P1＝-0.1；分数低于60分的，P1＝-0.2。</w:t>
      </w:r>
    </w:p>
    <w:p>
      <w:pPr>
        <w:autoSpaceDE w:val="0"/>
        <w:autoSpaceDN w:val="0"/>
        <w:spacing w:line="360" w:lineRule="auto"/>
        <w:ind w:firstLine="420" w:firstLineChars="200"/>
        <w:rPr>
          <w:iCs/>
          <w:sz w:val="21"/>
        </w:rPr>
      </w:pPr>
      <w:r>
        <w:rPr>
          <w:rFonts w:hint="eastAsia"/>
          <w:iCs/>
          <w:sz w:val="21"/>
        </w:rPr>
        <w:t>P2：由教学单位组织教师参加教学质量奖的评选工作，参与并获奖的教师按规则计算P2，获得一等奖的P2＝0.1，获得二等奖的P2＝0.06，获得三等将的P3＝0.04。</w:t>
      </w:r>
    </w:p>
    <w:p>
      <w:pPr>
        <w:autoSpaceDE w:val="0"/>
        <w:autoSpaceDN w:val="0"/>
        <w:spacing w:line="360" w:lineRule="auto"/>
        <w:ind w:firstLine="420" w:firstLineChars="200"/>
        <w:rPr>
          <w:iCs/>
          <w:sz w:val="21"/>
        </w:rPr>
      </w:pPr>
      <w:r>
        <w:rPr>
          <w:rFonts w:hint="eastAsia"/>
          <w:iCs/>
          <w:sz w:val="21"/>
        </w:rPr>
        <w:t>（2）教学工作完成数量系数：S＝（50÷额定工作量）×（额定工作量-完成工作量）</w:t>
      </w:r>
    </w:p>
    <w:p>
      <w:pPr>
        <w:autoSpaceDE w:val="0"/>
        <w:autoSpaceDN w:val="0"/>
        <w:spacing w:line="360" w:lineRule="auto"/>
        <w:ind w:firstLine="420" w:firstLineChars="200"/>
        <w:rPr>
          <w:iCs/>
          <w:sz w:val="21"/>
        </w:rPr>
      </w:pPr>
      <w:r>
        <w:rPr>
          <w:rFonts w:hint="eastAsia"/>
          <w:iCs/>
          <w:sz w:val="21"/>
        </w:rPr>
        <w:t>（3）完成工作量低于额定工作量要求60%的教师绩效考核为不合格。</w:t>
      </w:r>
    </w:p>
    <w:p>
      <w:pPr>
        <w:autoSpaceDE w:val="0"/>
        <w:autoSpaceDN w:val="0"/>
        <w:spacing w:line="360" w:lineRule="auto"/>
        <w:ind w:firstLine="420" w:firstLineChars="200"/>
        <w:rPr>
          <w:iCs/>
          <w:sz w:val="21"/>
        </w:rPr>
      </w:pPr>
      <w:r>
        <w:rPr>
          <w:rFonts w:hint="eastAsia"/>
          <w:iCs/>
          <w:sz w:val="21"/>
        </w:rPr>
        <w:t xml:space="preserve">（4）完成额定工作量的教师方有参评良好、优秀的资格。 </w:t>
      </w:r>
      <w:r>
        <w:rPr>
          <w:rFonts w:hint="eastAsia"/>
          <w:iCs/>
          <w:sz w:val="21"/>
        </w:rPr>
        <w:br w:type="textWrapping"/>
      </w:r>
      <w:r>
        <w:rPr>
          <w:rFonts w:hint="eastAsia"/>
          <w:iCs/>
          <w:sz w:val="21"/>
        </w:rPr>
        <w:t>（5）受教学质量评价系数影响，教学工作得分最高分为57.5分。</w:t>
      </w:r>
    </w:p>
    <w:p>
      <w:pPr>
        <w:autoSpaceDE w:val="0"/>
        <w:autoSpaceDN w:val="0"/>
        <w:spacing w:line="360" w:lineRule="auto"/>
        <w:ind w:firstLine="420" w:firstLineChars="200"/>
        <w:rPr>
          <w:iCs/>
          <w:sz w:val="21"/>
        </w:rPr>
      </w:pPr>
      <w:r>
        <w:rPr>
          <w:rFonts w:hint="eastAsia"/>
          <w:iCs/>
          <w:sz w:val="21"/>
        </w:rPr>
        <w:t>（二）教科研工作（20分）</w:t>
      </w:r>
    </w:p>
    <w:p>
      <w:pPr>
        <w:autoSpaceDE w:val="0"/>
        <w:autoSpaceDN w:val="0"/>
        <w:spacing w:line="360" w:lineRule="auto"/>
        <w:ind w:firstLine="420" w:firstLineChars="200"/>
        <w:rPr>
          <w:iCs/>
          <w:sz w:val="21"/>
        </w:rPr>
      </w:pPr>
      <w:r>
        <w:rPr>
          <w:rFonts w:hint="eastAsia"/>
          <w:iCs/>
          <w:sz w:val="21"/>
        </w:rPr>
        <w:t>根据《东莞理工学院城市学院教科研积分奖励办法》中的相关规定计算教师教科研积分情况，按以下标准计算绩效考核分值。</w:t>
      </w:r>
    </w:p>
    <w:p>
      <w:pPr>
        <w:autoSpaceDE w:val="0"/>
        <w:autoSpaceDN w:val="0"/>
        <w:spacing w:line="360" w:lineRule="auto"/>
        <w:ind w:firstLine="420" w:firstLineChars="200"/>
        <w:rPr>
          <w:iCs/>
          <w:sz w:val="21"/>
        </w:rPr>
      </w:pPr>
      <w:r>
        <w:rPr>
          <w:rFonts w:hint="eastAsia"/>
          <w:iCs/>
          <w:sz w:val="21"/>
        </w:rPr>
        <w:t>1.分值计算：</w:t>
      </w:r>
    </w:p>
    <w:p>
      <w:pPr>
        <w:autoSpaceDE w:val="0"/>
        <w:autoSpaceDN w:val="0"/>
        <w:spacing w:line="360" w:lineRule="auto"/>
        <w:ind w:firstLine="420" w:firstLineChars="200"/>
        <w:rPr>
          <w:iCs/>
          <w:sz w:val="21"/>
        </w:rPr>
      </w:pPr>
      <w:r>
        <w:rPr>
          <w:rFonts w:hint="eastAsia"/>
          <w:iCs/>
          <w:sz w:val="21"/>
        </w:rPr>
        <w:t>分数＝20÷教科研基础积分数×J（J为完成的教科研积分数）</w:t>
      </w:r>
    </w:p>
    <w:p>
      <w:pPr>
        <w:autoSpaceDE w:val="0"/>
        <w:autoSpaceDN w:val="0"/>
        <w:spacing w:line="360" w:lineRule="auto"/>
        <w:ind w:firstLine="420" w:firstLineChars="200"/>
        <w:rPr>
          <w:iCs/>
          <w:sz w:val="21"/>
        </w:rPr>
      </w:pPr>
      <w:r>
        <w:rPr>
          <w:rFonts w:hint="eastAsia"/>
          <w:iCs/>
          <w:sz w:val="21"/>
        </w:rPr>
        <w:t>2.计算说明</w:t>
      </w:r>
    </w:p>
    <w:p>
      <w:pPr>
        <w:autoSpaceDE w:val="0"/>
        <w:autoSpaceDN w:val="0"/>
        <w:spacing w:line="360" w:lineRule="auto"/>
        <w:ind w:firstLine="420" w:firstLineChars="200"/>
        <w:rPr>
          <w:iCs/>
          <w:sz w:val="21"/>
        </w:rPr>
      </w:pPr>
      <w:r>
        <w:rPr>
          <w:rFonts w:hint="eastAsia"/>
          <w:iCs/>
          <w:sz w:val="21"/>
        </w:rPr>
        <w:t>（1）教科研基础积分数为45积分。</w:t>
      </w:r>
    </w:p>
    <w:p>
      <w:pPr>
        <w:autoSpaceDE w:val="0"/>
        <w:autoSpaceDN w:val="0"/>
        <w:spacing w:line="360" w:lineRule="auto"/>
        <w:ind w:firstLine="420" w:firstLineChars="200"/>
        <w:rPr>
          <w:iCs/>
          <w:sz w:val="21"/>
        </w:rPr>
      </w:pPr>
      <w:r>
        <w:rPr>
          <w:rFonts w:hint="eastAsia"/>
          <w:iCs/>
          <w:sz w:val="21"/>
        </w:rPr>
        <w:t>（2）当学年J值超出教科研基础积分数的积分可用于计算“教科研工作选项分值”。</w:t>
      </w:r>
    </w:p>
    <w:p>
      <w:pPr>
        <w:autoSpaceDE w:val="0"/>
        <w:autoSpaceDN w:val="0"/>
        <w:spacing w:line="360" w:lineRule="auto"/>
        <w:ind w:firstLine="420" w:firstLineChars="200"/>
        <w:rPr>
          <w:iCs/>
          <w:sz w:val="21"/>
        </w:rPr>
      </w:pPr>
      <w:r>
        <w:rPr>
          <w:rFonts w:hint="eastAsia"/>
          <w:iCs/>
          <w:sz w:val="21"/>
        </w:rPr>
        <w:t>（3）当学年教科研积分值达到30分者方有参评优秀的资格。</w:t>
      </w:r>
    </w:p>
    <w:p>
      <w:pPr>
        <w:autoSpaceDE w:val="0"/>
        <w:autoSpaceDN w:val="0"/>
        <w:spacing w:line="360" w:lineRule="auto"/>
        <w:ind w:firstLine="420" w:firstLineChars="200"/>
        <w:rPr>
          <w:iCs/>
          <w:sz w:val="21"/>
        </w:rPr>
      </w:pPr>
      <w:r>
        <w:rPr>
          <w:rFonts w:hint="eastAsia"/>
          <w:iCs/>
          <w:sz w:val="21"/>
        </w:rPr>
        <w:t>（4）当学年教科研积分值达到10分者方有参评良好的资格。</w:t>
      </w:r>
    </w:p>
    <w:p>
      <w:pPr>
        <w:autoSpaceDE w:val="0"/>
        <w:autoSpaceDN w:val="0"/>
        <w:spacing w:line="360" w:lineRule="auto"/>
        <w:ind w:firstLine="420" w:firstLineChars="200"/>
        <w:rPr>
          <w:iCs/>
          <w:sz w:val="21"/>
        </w:rPr>
      </w:pPr>
      <w:r>
        <w:rPr>
          <w:rFonts w:hint="eastAsia"/>
          <w:iCs/>
          <w:sz w:val="21"/>
        </w:rPr>
        <w:t>（三）教学服务工作（5分）</w:t>
      </w:r>
    </w:p>
    <w:p>
      <w:pPr>
        <w:autoSpaceDE w:val="0"/>
        <w:autoSpaceDN w:val="0"/>
        <w:spacing w:line="360" w:lineRule="auto"/>
        <w:ind w:firstLine="420" w:firstLineChars="200"/>
        <w:rPr>
          <w:iCs/>
          <w:sz w:val="21"/>
        </w:rPr>
      </w:pPr>
      <w:r>
        <w:rPr>
          <w:rFonts w:hint="eastAsia"/>
          <w:iCs/>
          <w:sz w:val="21"/>
        </w:rPr>
        <w:t>根据《东莞理工学院城市学院教学服务工作管理办法》中的相关规定计算教师教学服务工作的数量情况，按以下标准计算绩效考核分值。</w:t>
      </w:r>
    </w:p>
    <w:p>
      <w:pPr>
        <w:autoSpaceDE w:val="0"/>
        <w:autoSpaceDN w:val="0"/>
        <w:spacing w:line="360" w:lineRule="auto"/>
        <w:ind w:firstLine="420" w:firstLineChars="200"/>
        <w:rPr>
          <w:iCs/>
          <w:sz w:val="21"/>
        </w:rPr>
      </w:pPr>
      <w:r>
        <w:rPr>
          <w:rFonts w:hint="eastAsia"/>
          <w:iCs/>
          <w:sz w:val="21"/>
        </w:rPr>
        <w:t>1.分值计算</w:t>
      </w:r>
    </w:p>
    <w:p>
      <w:pPr>
        <w:autoSpaceDE w:val="0"/>
        <w:autoSpaceDN w:val="0"/>
        <w:spacing w:line="360" w:lineRule="auto"/>
        <w:ind w:firstLine="420" w:firstLineChars="200"/>
        <w:rPr>
          <w:iCs/>
          <w:sz w:val="21"/>
        </w:rPr>
      </w:pPr>
      <w:r>
        <w:rPr>
          <w:rFonts w:hint="eastAsia"/>
          <w:iCs/>
          <w:sz w:val="21"/>
        </w:rPr>
        <w:t>（1）完成教学服务工作小于等于教学服务基础工作量：分数＝4÷教学服务基础工作量×F（F为完成的教学服务工作数量）</w:t>
      </w:r>
    </w:p>
    <w:p>
      <w:pPr>
        <w:autoSpaceDE w:val="0"/>
        <w:autoSpaceDN w:val="0"/>
        <w:spacing w:line="360" w:lineRule="auto"/>
        <w:ind w:firstLine="420" w:firstLineChars="200"/>
        <w:rPr>
          <w:iCs/>
          <w:sz w:val="21"/>
        </w:rPr>
      </w:pPr>
      <w:r>
        <w:rPr>
          <w:rFonts w:hint="eastAsia"/>
          <w:iCs/>
          <w:sz w:val="21"/>
        </w:rPr>
        <w:t>（2）完成教学服务工作大于教学服务基础工作量且小于等于教学服务基础工作量150%：分数＝4+1÷（教学服务基础工作量×50%）×（F-教学服务基础工作量）（F为完成的教学服务工作数量）</w:t>
      </w:r>
    </w:p>
    <w:p>
      <w:pPr>
        <w:autoSpaceDE w:val="0"/>
        <w:autoSpaceDN w:val="0"/>
        <w:spacing w:line="360" w:lineRule="auto"/>
        <w:ind w:firstLine="420" w:firstLineChars="200"/>
        <w:rPr>
          <w:iCs/>
          <w:sz w:val="21"/>
        </w:rPr>
      </w:pPr>
      <w:r>
        <w:rPr>
          <w:rFonts w:hint="eastAsia"/>
          <w:iCs/>
          <w:sz w:val="21"/>
        </w:rPr>
        <w:t>2.计算说明</w:t>
      </w:r>
    </w:p>
    <w:p>
      <w:pPr>
        <w:autoSpaceDE w:val="0"/>
        <w:autoSpaceDN w:val="0"/>
        <w:spacing w:line="360" w:lineRule="auto"/>
        <w:ind w:firstLine="420" w:firstLineChars="200"/>
        <w:rPr>
          <w:iCs/>
          <w:sz w:val="21"/>
        </w:rPr>
      </w:pPr>
      <w:r>
        <w:rPr>
          <w:rFonts w:hint="eastAsia"/>
          <w:iCs/>
          <w:sz w:val="21"/>
        </w:rPr>
        <w:t>（1）教学服务基础工作量为16个工作单元。</w:t>
      </w:r>
    </w:p>
    <w:p>
      <w:pPr>
        <w:autoSpaceDE w:val="0"/>
        <w:autoSpaceDN w:val="0"/>
        <w:spacing w:line="360" w:lineRule="auto"/>
        <w:ind w:firstLine="420" w:firstLineChars="200"/>
        <w:rPr>
          <w:iCs/>
          <w:sz w:val="21"/>
        </w:rPr>
      </w:pPr>
      <w:r>
        <w:rPr>
          <w:rFonts w:hint="eastAsia"/>
          <w:iCs/>
          <w:sz w:val="21"/>
        </w:rPr>
        <w:t>（2）当学年F值超出教学服务基础工作量150%的按150%计算。</w:t>
      </w:r>
    </w:p>
    <w:p>
      <w:pPr>
        <w:autoSpaceDE w:val="0"/>
        <w:autoSpaceDN w:val="0"/>
        <w:spacing w:line="360" w:lineRule="auto"/>
        <w:ind w:firstLine="420" w:firstLineChars="200"/>
        <w:rPr>
          <w:iCs/>
          <w:sz w:val="21"/>
        </w:rPr>
      </w:pPr>
      <w:r>
        <w:rPr>
          <w:rFonts w:hint="eastAsia"/>
          <w:iCs/>
          <w:sz w:val="21"/>
        </w:rPr>
        <w:t>（四）教学或科研工作选项分值（10分）</w:t>
      </w:r>
    </w:p>
    <w:p>
      <w:pPr>
        <w:autoSpaceDE w:val="0"/>
        <w:autoSpaceDN w:val="0"/>
        <w:spacing w:line="360" w:lineRule="auto"/>
        <w:ind w:firstLine="420" w:firstLineChars="200"/>
        <w:rPr>
          <w:iCs/>
          <w:sz w:val="21"/>
        </w:rPr>
      </w:pPr>
      <w:r>
        <w:rPr>
          <w:rFonts w:hint="eastAsia"/>
          <w:iCs/>
          <w:sz w:val="21"/>
        </w:rPr>
        <w:t>学工作量完成数量达到额定标准的教师，可根据教师教学工作和教科研工作完成的总量情况选择以下两个标准之一计算教学或教科研工作选项分值。</w:t>
      </w:r>
    </w:p>
    <w:p>
      <w:pPr>
        <w:autoSpaceDE w:val="0"/>
        <w:autoSpaceDN w:val="0"/>
        <w:spacing w:line="360" w:lineRule="auto"/>
        <w:ind w:firstLine="420" w:firstLineChars="200"/>
        <w:rPr>
          <w:iCs/>
          <w:sz w:val="21"/>
        </w:rPr>
      </w:pPr>
      <w:r>
        <w:rPr>
          <w:rFonts w:hint="eastAsia"/>
          <w:iCs/>
          <w:sz w:val="21"/>
        </w:rPr>
        <w:t>1.完成教学工作量超过额定工作量的，可按照如下标准计算“教学工作选项分值”（10分）</w:t>
      </w:r>
    </w:p>
    <w:p>
      <w:pPr>
        <w:autoSpaceDE w:val="0"/>
        <w:autoSpaceDN w:val="0"/>
        <w:spacing w:line="360" w:lineRule="auto"/>
        <w:ind w:firstLine="420" w:firstLineChars="200"/>
        <w:rPr>
          <w:iCs/>
          <w:sz w:val="21"/>
        </w:rPr>
      </w:pPr>
      <w:r>
        <w:rPr>
          <w:rFonts w:hint="eastAsia"/>
          <w:iCs/>
          <w:sz w:val="21"/>
        </w:rPr>
        <w:t>（1）分数＝（10÷（额定工作量×50%））×（完成工作量-额定工作量）</w:t>
      </w:r>
    </w:p>
    <w:p>
      <w:pPr>
        <w:autoSpaceDE w:val="0"/>
        <w:autoSpaceDN w:val="0"/>
        <w:spacing w:line="360" w:lineRule="auto"/>
        <w:ind w:firstLine="420" w:firstLineChars="200"/>
        <w:rPr>
          <w:iCs/>
          <w:sz w:val="21"/>
        </w:rPr>
      </w:pPr>
      <w:r>
        <w:rPr>
          <w:rFonts w:hint="eastAsia"/>
          <w:iCs/>
          <w:sz w:val="21"/>
        </w:rPr>
        <w:t>（2）完成工作量大于额定工作量要求150%以上的按150%计算。</w:t>
      </w:r>
    </w:p>
    <w:p>
      <w:pPr>
        <w:autoSpaceDE w:val="0"/>
        <w:autoSpaceDN w:val="0"/>
        <w:spacing w:line="360" w:lineRule="auto"/>
        <w:ind w:firstLine="420" w:firstLineChars="200"/>
        <w:rPr>
          <w:iCs/>
          <w:sz w:val="21"/>
        </w:rPr>
      </w:pPr>
      <w:r>
        <w:rPr>
          <w:rFonts w:hint="eastAsia"/>
          <w:iCs/>
          <w:sz w:val="21"/>
        </w:rPr>
        <w:t>2.教科研积分超过教科研基础积分数（45），可按照如下标准计算“教科研工作选项分值”（10分）</w:t>
      </w:r>
    </w:p>
    <w:p>
      <w:pPr>
        <w:autoSpaceDE w:val="0"/>
        <w:autoSpaceDN w:val="0"/>
        <w:spacing w:line="360" w:lineRule="auto"/>
        <w:ind w:firstLine="420" w:firstLineChars="200"/>
        <w:rPr>
          <w:iCs/>
          <w:sz w:val="21"/>
        </w:rPr>
      </w:pPr>
      <w:r>
        <w:rPr>
          <w:rFonts w:hint="eastAsia"/>
          <w:iCs/>
          <w:sz w:val="21"/>
        </w:rPr>
        <w:t>（1）分数＝（10÷（教科研基础积分数×50%））×（J-教科研基础积分数）（J为完成的教科研积分数）</w:t>
      </w:r>
    </w:p>
    <w:p>
      <w:pPr>
        <w:autoSpaceDE w:val="0"/>
        <w:autoSpaceDN w:val="0"/>
        <w:spacing w:line="360" w:lineRule="auto"/>
        <w:ind w:firstLine="420" w:firstLineChars="200"/>
        <w:rPr>
          <w:iCs/>
          <w:sz w:val="21"/>
        </w:rPr>
      </w:pPr>
      <w:r>
        <w:rPr>
          <w:rFonts w:hint="eastAsia"/>
          <w:iCs/>
          <w:sz w:val="21"/>
        </w:rPr>
        <w:t>（2）教师的教科研积分数达到55分以上的方可申请计算“教科研工作选项分值”。</w:t>
      </w:r>
    </w:p>
    <w:p>
      <w:pPr>
        <w:autoSpaceDE w:val="0"/>
        <w:autoSpaceDN w:val="0"/>
        <w:spacing w:line="360" w:lineRule="auto"/>
        <w:ind w:firstLine="420" w:firstLineChars="200"/>
        <w:rPr>
          <w:iCs/>
          <w:sz w:val="21"/>
        </w:rPr>
      </w:pPr>
      <w:r>
        <w:rPr>
          <w:rFonts w:hint="eastAsia"/>
          <w:iCs/>
          <w:sz w:val="21"/>
        </w:rPr>
        <w:t>（3）Ｊ值的上限分值为67.5分（45×150%），多于67.5的积分可转入下一学年度计算，三年内对绩效考核有效。</w:t>
      </w:r>
    </w:p>
    <w:p>
      <w:pPr>
        <w:autoSpaceDE w:val="0"/>
        <w:autoSpaceDN w:val="0"/>
        <w:spacing w:line="360" w:lineRule="auto"/>
        <w:ind w:firstLine="420" w:firstLineChars="200"/>
        <w:rPr>
          <w:iCs/>
          <w:sz w:val="21"/>
        </w:rPr>
      </w:pPr>
      <w:r>
        <w:rPr>
          <w:rFonts w:hint="eastAsia"/>
          <w:iCs/>
          <w:sz w:val="21"/>
        </w:rPr>
        <w:t>3.计算说明：“教学工作选项分值”和“教科研工作选项分值”两项只能选择一项，不可两项加和。</w:t>
      </w:r>
    </w:p>
    <w:p>
      <w:pPr>
        <w:autoSpaceDE w:val="0"/>
        <w:autoSpaceDN w:val="0"/>
        <w:spacing w:line="360" w:lineRule="auto"/>
        <w:ind w:firstLine="420" w:firstLineChars="200"/>
        <w:rPr>
          <w:iCs/>
          <w:sz w:val="21"/>
        </w:rPr>
      </w:pPr>
      <w:r>
        <w:rPr>
          <w:rFonts w:hint="eastAsia"/>
          <w:iCs/>
          <w:sz w:val="21"/>
        </w:rPr>
        <w:t>（五）特殊加减分项</w:t>
      </w:r>
    </w:p>
    <w:p>
      <w:pPr>
        <w:autoSpaceDE w:val="0"/>
        <w:autoSpaceDN w:val="0"/>
        <w:spacing w:line="360" w:lineRule="auto"/>
        <w:ind w:firstLine="420" w:firstLineChars="200"/>
        <w:rPr>
          <w:iCs/>
          <w:sz w:val="21"/>
        </w:rPr>
      </w:pPr>
      <w:r>
        <w:rPr>
          <w:rFonts w:hint="eastAsia"/>
          <w:iCs/>
          <w:sz w:val="21"/>
        </w:rPr>
        <w:t>1.教师在考评周期内发生教学事故的，一级教学事故者扣50分；二级教学事故者扣20分；三级教学事故者扣10分；四级教学事故者扣5分，其中发生三级以上（含三级）教学事故者无评优资格。</w:t>
      </w:r>
    </w:p>
    <w:p>
      <w:pPr>
        <w:autoSpaceDE w:val="0"/>
        <w:autoSpaceDN w:val="0"/>
        <w:spacing w:line="360" w:lineRule="auto"/>
        <w:ind w:firstLine="420" w:firstLineChars="200"/>
        <w:rPr>
          <w:rFonts w:hint="eastAsia"/>
          <w:iCs/>
          <w:sz w:val="21"/>
        </w:rPr>
      </w:pPr>
      <w:r>
        <w:rPr>
          <w:rFonts w:hint="eastAsia"/>
          <w:iCs/>
          <w:sz w:val="21"/>
        </w:rPr>
        <w:t>2.教师的教学工作、教科研工作、教学服务工作及系（部）综合评价的各项评分和佐证材料由各教师所属单位负责组织核算、汇总，其结果需在系部公示3天以上，无异议后报学院考评工作负责部门审核确认。</w:t>
      </w:r>
    </w:p>
    <w:p>
      <w:pPr>
        <w:autoSpaceDE w:val="0"/>
        <w:autoSpaceDN w:val="0"/>
        <w:spacing w:line="360" w:lineRule="auto"/>
        <w:ind w:firstLine="420" w:firstLineChars="200"/>
        <w:rPr>
          <w:iCs/>
          <w:sz w:val="21"/>
        </w:rPr>
      </w:pPr>
      <w:r>
        <w:rPr>
          <w:rFonts w:hint="eastAsia"/>
          <w:iCs/>
          <w:sz w:val="21"/>
        </w:rPr>
        <w:t>3.绩效考核总分合计最高分值（含上浮）为107.5分，60分以下为考核不合格。</w:t>
      </w:r>
    </w:p>
    <w:p>
      <w:pPr>
        <w:autoSpaceDE w:val="0"/>
        <w:autoSpaceDN w:val="0"/>
        <w:spacing w:line="360" w:lineRule="auto"/>
        <w:ind w:firstLine="420" w:firstLineChars="200"/>
        <w:rPr>
          <w:rFonts w:hint="eastAsia"/>
          <w:iCs/>
          <w:sz w:val="21"/>
        </w:rPr>
      </w:pPr>
      <w:r>
        <w:rPr>
          <w:rFonts w:hint="eastAsia"/>
          <w:iCs/>
          <w:sz w:val="21"/>
        </w:rPr>
        <w:t>4.考评期间违反学院师德师风规范相关要求，造成严重影响的，教师考核为不合格。</w:t>
      </w:r>
    </w:p>
    <w:p>
      <w:pPr>
        <w:autoSpaceDE w:val="0"/>
        <w:autoSpaceDN w:val="0"/>
        <w:spacing w:line="360" w:lineRule="auto"/>
        <w:ind w:firstLine="482" w:firstLineChars="200"/>
        <w:rPr>
          <w:rFonts w:hint="eastAsia"/>
          <w:b/>
          <w:iCs/>
          <w:sz w:val="24"/>
          <w:szCs w:val="24"/>
        </w:rPr>
      </w:pPr>
      <w:r>
        <w:rPr>
          <w:rFonts w:hint="eastAsia"/>
          <w:b/>
          <w:iCs/>
          <w:sz w:val="24"/>
          <w:szCs w:val="24"/>
        </w:rPr>
        <w:t>（六）依据文件</w:t>
      </w:r>
    </w:p>
    <w:p>
      <w:pPr>
        <w:ind w:firstLine="527" w:firstLineChars="250"/>
        <w:rPr>
          <w:rFonts w:ascii="仿宋_GB2312" w:hAnsi="宋体" w:eastAsia="仿宋_GB2312" w:cs="宋体"/>
          <w:b/>
          <w:sz w:val="21"/>
          <w:szCs w:val="21"/>
          <w:u w:color="943734" w:themeColor="accent2" w:themeShade="BF"/>
        </w:rPr>
      </w:pPr>
      <w:r>
        <w:rPr>
          <w:rFonts w:hint="eastAsia" w:ascii="仿宋_GB2312" w:hAnsi="宋体" w:eastAsia="仿宋_GB2312" w:cs="宋体"/>
          <w:b/>
          <w:sz w:val="21"/>
          <w:szCs w:val="21"/>
          <w:u w:color="943734" w:themeColor="accent2" w:themeShade="BF"/>
        </w:rPr>
        <w:t>1.《东莞理工学院城市学院教学服务工作管理办法（试行）》</w:t>
      </w:r>
    </w:p>
    <w:p>
      <w:pPr>
        <w:pStyle w:val="7"/>
        <w:shd w:val="clear" w:color="auto" w:fill="FCFCFC"/>
        <w:spacing w:before="0" w:beforeAutospacing="0" w:after="0" w:afterAutospacing="0" w:line="540" w:lineRule="exact"/>
        <w:ind w:firstLine="480"/>
        <w:rPr>
          <w:rFonts w:hint="eastAsia" w:ascii="仿宋_GB2312" w:eastAsia="仿宋_GB2312"/>
          <w:sz w:val="21"/>
          <w:szCs w:val="21"/>
        </w:rPr>
      </w:pPr>
      <w:r>
        <w:rPr>
          <w:rFonts w:hint="eastAsia" w:ascii="仿宋_GB2312" w:eastAsia="仿宋_GB2312"/>
          <w:sz w:val="21"/>
          <w:szCs w:val="21"/>
        </w:rPr>
        <w:t>为了配合学院岗位分配制度改革方案的实施，本着遵循高等教育一般规律和引入竞争机制，体现按劳分配、多劳多得的原则，规范各类教学服务工作的管理，借鉴兄弟院校的有关经验，结合我院实际，特制定本办法。</w:t>
      </w:r>
    </w:p>
    <w:p>
      <w:pPr>
        <w:spacing w:line="540" w:lineRule="exact"/>
        <w:ind w:firstLine="422" w:firstLineChars="200"/>
        <w:jc w:val="both"/>
        <w:rPr>
          <w:rFonts w:hint="eastAsia" w:ascii="仿宋_GB2312" w:eastAsia="仿宋_GB2312"/>
          <w:sz w:val="21"/>
          <w:szCs w:val="21"/>
        </w:rPr>
      </w:pPr>
      <w:r>
        <w:rPr>
          <w:rFonts w:hint="eastAsia" w:ascii="仿宋_GB2312" w:eastAsia="仿宋_GB2312"/>
          <w:b/>
          <w:sz w:val="21"/>
          <w:szCs w:val="21"/>
        </w:rPr>
        <w:t>第一条</w:t>
      </w:r>
      <w:r>
        <w:rPr>
          <w:rFonts w:hint="eastAsia" w:ascii="仿宋_GB2312" w:eastAsia="仿宋_GB2312"/>
          <w:sz w:val="21"/>
          <w:szCs w:val="21"/>
        </w:rPr>
        <w:t>　教学服务工作是指人才培养方案规定课程教学任务之外的，但属于教学服务范围内的各项工作。</w:t>
      </w:r>
    </w:p>
    <w:p>
      <w:pPr>
        <w:spacing w:line="540" w:lineRule="exact"/>
        <w:ind w:firstLine="422" w:firstLineChars="200"/>
        <w:jc w:val="both"/>
        <w:rPr>
          <w:rFonts w:hint="eastAsia" w:ascii="仿宋_GB2312" w:eastAsia="仿宋_GB2312"/>
          <w:sz w:val="21"/>
          <w:szCs w:val="21"/>
        </w:rPr>
      </w:pPr>
      <w:r>
        <w:rPr>
          <w:rFonts w:hint="eastAsia" w:ascii="仿宋_GB2312" w:eastAsia="仿宋_GB2312"/>
          <w:b/>
          <w:sz w:val="21"/>
          <w:szCs w:val="21"/>
        </w:rPr>
        <w:t>第二条</w:t>
      </w:r>
      <w:r>
        <w:rPr>
          <w:rFonts w:hint="eastAsia" w:ascii="仿宋_GB2312" w:eastAsia="仿宋_GB2312"/>
          <w:sz w:val="21"/>
          <w:szCs w:val="21"/>
        </w:rPr>
        <w:t xml:space="preserve">  教学服务工作依据对应标准确定工作情况，按照工作项目进行核算和发放报酬。</w:t>
      </w:r>
    </w:p>
    <w:p>
      <w:pPr>
        <w:spacing w:line="540" w:lineRule="exact"/>
        <w:ind w:firstLine="422" w:firstLineChars="200"/>
        <w:jc w:val="both"/>
        <w:rPr>
          <w:rFonts w:hint="eastAsia" w:ascii="仿宋_GB2312" w:eastAsia="仿宋_GB2312"/>
          <w:sz w:val="21"/>
          <w:szCs w:val="21"/>
        </w:rPr>
      </w:pPr>
      <w:r>
        <w:rPr>
          <w:rFonts w:hint="eastAsia" w:ascii="仿宋_GB2312" w:eastAsia="仿宋_GB2312"/>
          <w:b/>
          <w:sz w:val="21"/>
          <w:szCs w:val="21"/>
        </w:rPr>
        <w:t>第三条</w:t>
      </w:r>
      <w:r>
        <w:rPr>
          <w:rFonts w:hint="eastAsia" w:ascii="仿宋_GB2312" w:eastAsia="仿宋_GB2312"/>
          <w:sz w:val="21"/>
          <w:szCs w:val="21"/>
        </w:rPr>
        <w:t xml:space="preserve">  根据教学服务工作的开展情况认定相应的“工作单元”，每“单元”的酬金标准为60元。</w:t>
      </w:r>
    </w:p>
    <w:p>
      <w:pPr>
        <w:spacing w:line="540" w:lineRule="exact"/>
        <w:ind w:firstLine="422" w:firstLineChars="200"/>
        <w:jc w:val="both"/>
        <w:rPr>
          <w:rFonts w:hint="eastAsia" w:ascii="仿宋_GB2312" w:eastAsia="仿宋_GB2312"/>
          <w:sz w:val="21"/>
          <w:szCs w:val="21"/>
        </w:rPr>
      </w:pPr>
      <w:r>
        <w:rPr>
          <w:rFonts w:hint="eastAsia" w:ascii="仿宋_GB2312" w:eastAsia="仿宋_GB2312"/>
          <w:b/>
          <w:sz w:val="21"/>
          <w:szCs w:val="21"/>
        </w:rPr>
        <w:t>第四条</w:t>
      </w:r>
      <w:r>
        <w:rPr>
          <w:rFonts w:hint="eastAsia" w:ascii="仿宋_GB2312" w:eastAsia="仿宋_GB2312"/>
          <w:sz w:val="21"/>
          <w:szCs w:val="21"/>
        </w:rPr>
        <w:t xml:space="preserve">  教学服务工作的认定及管理要求如下：</w:t>
      </w:r>
    </w:p>
    <w:p>
      <w:pPr>
        <w:spacing w:line="540" w:lineRule="exact"/>
        <w:ind w:firstLine="420" w:firstLineChars="200"/>
        <w:jc w:val="both"/>
        <w:rPr>
          <w:rFonts w:hint="eastAsia" w:ascii="楷体_GB2312" w:eastAsia="楷体_GB2312"/>
          <w:sz w:val="21"/>
          <w:szCs w:val="21"/>
        </w:rPr>
      </w:pPr>
      <w:r>
        <w:rPr>
          <w:rFonts w:hint="eastAsia" w:ascii="楷体_GB2312" w:eastAsia="楷体_GB2312"/>
          <w:sz w:val="21"/>
          <w:szCs w:val="21"/>
        </w:rPr>
        <w:t>（一）专业与课程建设</w:t>
      </w:r>
    </w:p>
    <w:p>
      <w:pPr>
        <w:spacing w:line="540" w:lineRule="exact"/>
        <w:ind w:firstLine="420" w:firstLineChars="200"/>
        <w:jc w:val="both"/>
        <w:rPr>
          <w:rFonts w:hint="eastAsia" w:ascii="仿宋_GB2312" w:eastAsia="仿宋_GB2312"/>
          <w:sz w:val="21"/>
          <w:szCs w:val="21"/>
        </w:rPr>
      </w:pPr>
      <w:r>
        <w:rPr>
          <w:rFonts w:hint="eastAsia" w:ascii="仿宋_GB2312" w:eastAsia="仿宋_GB2312"/>
          <w:sz w:val="21"/>
          <w:szCs w:val="21"/>
        </w:rPr>
        <w:t>1.专业人才培养方案制订工作：每个专业认定40个工作单元。</w:t>
      </w:r>
    </w:p>
    <w:p>
      <w:pPr>
        <w:spacing w:line="540" w:lineRule="exact"/>
        <w:ind w:firstLine="420" w:firstLineChars="200"/>
        <w:jc w:val="both"/>
        <w:rPr>
          <w:rFonts w:hint="eastAsia" w:ascii="仿宋_GB2312" w:eastAsia="仿宋_GB2312"/>
          <w:sz w:val="21"/>
          <w:szCs w:val="21"/>
        </w:rPr>
      </w:pPr>
      <w:r>
        <w:rPr>
          <w:rFonts w:hint="eastAsia" w:ascii="仿宋_GB2312" w:eastAsia="仿宋_GB2312"/>
          <w:sz w:val="21"/>
          <w:szCs w:val="21"/>
        </w:rPr>
        <w:t>2.课程教学大纲编写工作：新编课程大纲的，每门课程认定4个工作单元；修订课程大纲的，每门课程认定3个工作单元。</w:t>
      </w:r>
    </w:p>
    <w:p>
      <w:pPr>
        <w:spacing w:line="540" w:lineRule="exact"/>
        <w:ind w:firstLine="420" w:firstLineChars="200"/>
        <w:jc w:val="both"/>
        <w:rPr>
          <w:rFonts w:hint="eastAsia" w:ascii="仿宋_GB2312" w:eastAsia="仿宋_GB2312"/>
          <w:sz w:val="21"/>
          <w:szCs w:val="21"/>
        </w:rPr>
      </w:pPr>
      <w:r>
        <w:rPr>
          <w:rFonts w:hint="eastAsia" w:ascii="仿宋_GB2312" w:eastAsia="仿宋_GB2312"/>
          <w:sz w:val="21"/>
          <w:szCs w:val="21"/>
        </w:rPr>
        <w:t>3.达标课程建设工作：每门课程认定5个工作单元。</w:t>
      </w:r>
    </w:p>
    <w:p>
      <w:pPr>
        <w:spacing w:line="540" w:lineRule="exact"/>
        <w:ind w:firstLine="420" w:firstLineChars="200"/>
        <w:jc w:val="both"/>
        <w:rPr>
          <w:rFonts w:hint="eastAsia" w:ascii="楷体_GB2312" w:eastAsia="楷体_GB2312"/>
          <w:sz w:val="21"/>
          <w:szCs w:val="21"/>
        </w:rPr>
      </w:pPr>
      <w:r>
        <w:rPr>
          <w:rFonts w:hint="eastAsia" w:ascii="楷体_GB2312" w:eastAsia="楷体_GB2312"/>
          <w:sz w:val="21"/>
          <w:szCs w:val="21"/>
        </w:rPr>
        <w:t>（二）学科竞赛的组织与辅导</w:t>
      </w:r>
    </w:p>
    <w:p>
      <w:pPr>
        <w:spacing w:line="540" w:lineRule="exact"/>
        <w:ind w:firstLine="420" w:firstLineChars="200"/>
        <w:jc w:val="both"/>
        <w:rPr>
          <w:rFonts w:hint="eastAsia" w:ascii="仿宋_GB2312" w:eastAsia="仿宋_GB2312"/>
          <w:sz w:val="21"/>
          <w:szCs w:val="21"/>
        </w:rPr>
      </w:pPr>
      <w:r>
        <w:rPr>
          <w:rFonts w:hint="eastAsia" w:ascii="仿宋_GB2312" w:eastAsia="仿宋_GB2312"/>
          <w:sz w:val="21"/>
          <w:szCs w:val="21"/>
        </w:rPr>
        <w:t>1.纳入本办法管理的竞赛项目为《东莞理工学院城市学院学科竞赛管理办法（试行）》规定范围内的各类竞赛。</w:t>
      </w:r>
    </w:p>
    <w:p>
      <w:pPr>
        <w:spacing w:line="540" w:lineRule="exact"/>
        <w:ind w:firstLine="420" w:firstLineChars="200"/>
        <w:jc w:val="both"/>
        <w:rPr>
          <w:rFonts w:hint="eastAsia" w:ascii="仿宋_GB2312" w:eastAsia="仿宋_GB2312"/>
          <w:sz w:val="21"/>
          <w:szCs w:val="21"/>
        </w:rPr>
      </w:pPr>
      <w:r>
        <w:rPr>
          <w:rFonts w:hint="eastAsia" w:ascii="仿宋_GB2312" w:eastAsia="仿宋_GB2312"/>
          <w:sz w:val="21"/>
          <w:szCs w:val="21"/>
        </w:rPr>
        <w:t>2.组织学生参加竞赛的各项管理工作：每项竞赛认定6个工作单元，具体由各单位根据工作情况分配。</w:t>
      </w:r>
    </w:p>
    <w:p>
      <w:pPr>
        <w:spacing w:line="540" w:lineRule="exact"/>
        <w:ind w:firstLine="420" w:firstLineChars="200"/>
        <w:jc w:val="both"/>
        <w:rPr>
          <w:rFonts w:hint="eastAsia" w:ascii="仿宋_GB2312" w:eastAsia="仿宋_GB2312"/>
          <w:sz w:val="21"/>
          <w:szCs w:val="21"/>
        </w:rPr>
      </w:pPr>
      <w:r>
        <w:rPr>
          <w:rFonts w:hint="eastAsia" w:ascii="仿宋_GB2312" w:eastAsia="仿宋_GB2312"/>
          <w:sz w:val="21"/>
          <w:szCs w:val="21"/>
        </w:rPr>
        <w:t>3.承担学生参加竞赛的教学辅导工作（体育类的辅导学时按第四条第五款第2点的规定计算）：按实际辅导学时计算（原则上每个竞赛的教学辅导学时不超过20个学时），每学时认定1.5个工作单元。各单位需于竞赛的教学辅导工作开始前将具体方案（含项目、学时、教师安排、学生人数、时间、地点）报教务处审批备案。</w:t>
      </w:r>
    </w:p>
    <w:p>
      <w:pPr>
        <w:spacing w:line="540" w:lineRule="exact"/>
        <w:ind w:firstLine="420" w:firstLineChars="200"/>
        <w:jc w:val="both"/>
        <w:rPr>
          <w:rFonts w:hint="eastAsia" w:ascii="楷体_GB2312" w:eastAsia="楷体_GB2312"/>
          <w:sz w:val="21"/>
          <w:szCs w:val="21"/>
        </w:rPr>
      </w:pPr>
      <w:r>
        <w:rPr>
          <w:rFonts w:hint="eastAsia" w:ascii="楷体_GB2312" w:eastAsia="楷体_GB2312"/>
          <w:sz w:val="21"/>
          <w:szCs w:val="21"/>
        </w:rPr>
        <w:t>（三）监考工作</w:t>
      </w:r>
    </w:p>
    <w:p>
      <w:pPr>
        <w:spacing w:line="540" w:lineRule="exact"/>
        <w:ind w:firstLine="420" w:firstLineChars="200"/>
        <w:jc w:val="both"/>
        <w:rPr>
          <w:rFonts w:hint="eastAsia" w:ascii="仿宋_GB2312" w:eastAsia="仿宋_GB2312"/>
          <w:sz w:val="21"/>
          <w:szCs w:val="21"/>
        </w:rPr>
      </w:pPr>
      <w:r>
        <w:rPr>
          <w:rFonts w:hint="eastAsia" w:ascii="仿宋_GB2312" w:eastAsia="仿宋_GB2312"/>
          <w:sz w:val="21"/>
          <w:szCs w:val="21"/>
        </w:rPr>
        <w:t>1.监考工作包含期末大考、补考、清考、教学单位提前考试的监考工作及学院统一安排的全程巡考工作。</w:t>
      </w:r>
    </w:p>
    <w:p>
      <w:pPr>
        <w:spacing w:line="540" w:lineRule="exact"/>
        <w:ind w:firstLine="420" w:firstLineChars="200"/>
        <w:jc w:val="both"/>
        <w:rPr>
          <w:rFonts w:hint="eastAsia" w:ascii="仿宋_GB2312" w:eastAsia="仿宋_GB2312"/>
          <w:sz w:val="21"/>
          <w:szCs w:val="21"/>
        </w:rPr>
      </w:pPr>
      <w:r>
        <w:rPr>
          <w:rFonts w:hint="eastAsia" w:ascii="仿宋_GB2312" w:eastAsia="仿宋_GB2312"/>
          <w:sz w:val="21"/>
          <w:szCs w:val="21"/>
        </w:rPr>
        <w:t>2.为充分体现服务教学的理念，每学期每位行政、教辅工作人员（含教学、行政秘书）应积极按学院安排参加监考工作，其中每学期需义务完成2场监考工作，超出部分每场认定1个工作单元。</w:t>
      </w:r>
    </w:p>
    <w:p>
      <w:pPr>
        <w:spacing w:line="540" w:lineRule="exact"/>
        <w:ind w:firstLine="420" w:firstLineChars="200"/>
        <w:jc w:val="both"/>
        <w:rPr>
          <w:rFonts w:hint="eastAsia" w:ascii="仿宋_GB2312" w:eastAsia="仿宋_GB2312"/>
          <w:sz w:val="21"/>
          <w:szCs w:val="21"/>
        </w:rPr>
      </w:pPr>
      <w:r>
        <w:rPr>
          <w:rFonts w:hint="eastAsia" w:ascii="仿宋_GB2312" w:eastAsia="仿宋_GB2312"/>
          <w:sz w:val="21"/>
          <w:szCs w:val="21"/>
        </w:rPr>
        <w:t>3.每学期专职教师（含辅导员）在期末考试期间需按学院安排完成监考工作，完成4场监考工作（不含随堂考试监考）后，超出部分每场认定1个工作单元。</w:t>
      </w:r>
    </w:p>
    <w:p>
      <w:pPr>
        <w:spacing w:line="540" w:lineRule="exact"/>
        <w:ind w:firstLine="420" w:firstLineChars="200"/>
        <w:jc w:val="both"/>
        <w:rPr>
          <w:rFonts w:hint="eastAsia" w:ascii="仿宋_GB2312" w:eastAsia="仿宋_GB2312"/>
          <w:sz w:val="21"/>
          <w:szCs w:val="21"/>
        </w:rPr>
      </w:pPr>
      <w:r>
        <w:rPr>
          <w:rFonts w:hint="eastAsia" w:ascii="仿宋_GB2312" w:eastAsia="仿宋_GB2312"/>
          <w:sz w:val="21"/>
          <w:szCs w:val="21"/>
        </w:rPr>
        <w:t>4.监考工作按学期清算，超出部分按学期结算和发放酬金；每学期在期末考试中因特殊情况未能完成4场监考工作的，教务处需在次学期的补考中安排教师完成。</w:t>
      </w:r>
    </w:p>
    <w:p>
      <w:pPr>
        <w:spacing w:line="540" w:lineRule="exact"/>
        <w:ind w:firstLine="420" w:firstLineChars="200"/>
        <w:jc w:val="both"/>
        <w:rPr>
          <w:rFonts w:hint="eastAsia" w:ascii="楷体_GB2312" w:eastAsia="楷体_GB2312"/>
          <w:sz w:val="21"/>
          <w:szCs w:val="21"/>
        </w:rPr>
      </w:pPr>
      <w:r>
        <w:rPr>
          <w:rFonts w:hint="eastAsia" w:ascii="楷体_GB2312" w:eastAsia="楷体_GB2312"/>
          <w:sz w:val="21"/>
          <w:szCs w:val="21"/>
        </w:rPr>
        <w:t>（四）学生专业学习指导</w:t>
      </w:r>
    </w:p>
    <w:p>
      <w:pPr>
        <w:spacing w:line="540" w:lineRule="exact"/>
        <w:ind w:firstLine="420" w:firstLineChars="200"/>
        <w:jc w:val="both"/>
        <w:rPr>
          <w:rFonts w:hint="eastAsia" w:ascii="仿宋_GB2312" w:eastAsia="仿宋_GB2312"/>
          <w:sz w:val="21"/>
          <w:szCs w:val="21"/>
        </w:rPr>
      </w:pPr>
      <w:r>
        <w:rPr>
          <w:rFonts w:hint="eastAsia" w:ascii="仿宋_GB2312" w:eastAsia="仿宋_GB2312"/>
          <w:sz w:val="21"/>
          <w:szCs w:val="21"/>
        </w:rPr>
        <w:t>1.院内教师开办学生学习指导讲座：主讲老师每次讲座认定10个工作单元，院内教师开办讲座每个教学单位一学年不超过8次，其中每位老师一学年主讲次数不超过2次。各组织单位需于每学期开学2周内将本学期院内讲座具体安排报教务处审批备案。</w:t>
      </w:r>
    </w:p>
    <w:p>
      <w:pPr>
        <w:spacing w:line="540" w:lineRule="exact"/>
        <w:ind w:firstLine="420" w:firstLineChars="200"/>
        <w:jc w:val="both"/>
        <w:rPr>
          <w:rFonts w:hint="eastAsia" w:ascii="仿宋_GB2312" w:eastAsia="仿宋_GB2312"/>
          <w:sz w:val="21"/>
          <w:szCs w:val="21"/>
        </w:rPr>
      </w:pPr>
      <w:r>
        <w:rPr>
          <w:rFonts w:hint="eastAsia" w:ascii="仿宋_GB2312" w:eastAsia="仿宋_GB2312"/>
          <w:sz w:val="21"/>
          <w:szCs w:val="21"/>
        </w:rPr>
        <w:t>2.硕士研究生考试工作：积极开展硕士研究生考试的组织、动员及专业辅导工作的，每考取1名硕士研究生认定10个工作单元，由学生所在教学单位根据工作情况分配。</w:t>
      </w:r>
    </w:p>
    <w:p>
      <w:pPr>
        <w:spacing w:line="540" w:lineRule="exact"/>
        <w:ind w:firstLine="420" w:firstLineChars="200"/>
        <w:jc w:val="both"/>
        <w:rPr>
          <w:rFonts w:hint="eastAsia" w:ascii="楷体_GB2312" w:eastAsia="楷体_GB2312"/>
          <w:sz w:val="21"/>
          <w:szCs w:val="21"/>
        </w:rPr>
      </w:pPr>
      <w:r>
        <w:rPr>
          <w:rFonts w:hint="eastAsia" w:ascii="楷体_GB2312" w:eastAsia="楷体_GB2312"/>
          <w:sz w:val="21"/>
          <w:szCs w:val="21"/>
        </w:rPr>
        <w:t>（五）课外体育管理工作</w:t>
      </w:r>
    </w:p>
    <w:p>
      <w:pPr>
        <w:spacing w:line="540" w:lineRule="exact"/>
        <w:ind w:firstLine="420" w:firstLineChars="200"/>
        <w:jc w:val="both"/>
        <w:rPr>
          <w:rFonts w:hint="eastAsia" w:ascii="仿宋_GB2312" w:eastAsia="仿宋_GB2312"/>
          <w:sz w:val="21"/>
          <w:szCs w:val="21"/>
        </w:rPr>
      </w:pPr>
      <w:r>
        <w:rPr>
          <w:rFonts w:hint="eastAsia" w:ascii="仿宋_GB2312" w:eastAsia="仿宋_GB2312"/>
          <w:sz w:val="21"/>
          <w:szCs w:val="21"/>
        </w:rPr>
        <w:t>1.大学生体质测试工作：按教育部统一要求完成大学生体质测试及数据整理、上报工作的，1个行政班认定8个工作单元。</w:t>
      </w:r>
    </w:p>
    <w:p>
      <w:pPr>
        <w:spacing w:line="540" w:lineRule="exact"/>
        <w:ind w:firstLine="420" w:firstLineChars="200"/>
        <w:jc w:val="both"/>
        <w:rPr>
          <w:rFonts w:hint="eastAsia" w:ascii="仿宋_GB2312" w:eastAsia="仿宋_GB2312"/>
          <w:sz w:val="21"/>
          <w:szCs w:val="21"/>
        </w:rPr>
      </w:pPr>
      <w:r>
        <w:rPr>
          <w:rFonts w:hint="eastAsia" w:ascii="仿宋_GB2312" w:eastAsia="仿宋_GB2312"/>
          <w:sz w:val="21"/>
          <w:szCs w:val="21"/>
        </w:rPr>
        <w:t>2.组建省级以上（含省级）比赛训练队，并开展体育训练的，按实际训练学时计算（原则上每项训练的教学辅导学时不超过20个学时），每学时认定1个工作单元，体育教学部需于训练开始前将训练方案（含项目、学时、教师安排、学生人数、时间、地点）报教务处审批备案。</w:t>
      </w:r>
    </w:p>
    <w:p>
      <w:pPr>
        <w:spacing w:line="540" w:lineRule="exact"/>
        <w:ind w:firstLine="420" w:firstLineChars="200"/>
        <w:jc w:val="both"/>
        <w:rPr>
          <w:rFonts w:hint="eastAsia" w:ascii="楷体_GB2312" w:eastAsia="楷体_GB2312"/>
          <w:sz w:val="21"/>
          <w:szCs w:val="21"/>
        </w:rPr>
      </w:pPr>
      <w:r>
        <w:rPr>
          <w:rFonts w:hint="eastAsia" w:ascii="楷体_GB2312" w:eastAsia="楷体_GB2312"/>
          <w:sz w:val="21"/>
          <w:szCs w:val="21"/>
        </w:rPr>
        <w:t>（六）青年教师导师制</w:t>
      </w:r>
    </w:p>
    <w:p>
      <w:pPr>
        <w:spacing w:line="540" w:lineRule="exact"/>
        <w:ind w:firstLine="420" w:firstLineChars="200"/>
        <w:jc w:val="both"/>
        <w:rPr>
          <w:rFonts w:hint="eastAsia" w:ascii="仿宋_GB2312" w:eastAsia="仿宋_GB2312"/>
          <w:sz w:val="21"/>
          <w:szCs w:val="21"/>
        </w:rPr>
      </w:pPr>
      <w:r>
        <w:rPr>
          <w:rFonts w:hint="eastAsia" w:ascii="仿宋_GB2312" w:eastAsia="仿宋_GB2312"/>
          <w:sz w:val="21"/>
          <w:szCs w:val="21"/>
        </w:rPr>
        <w:t>按要求开展青年教师导师制各项工作，由人事处统一组织考核合格的导师，每学期认定25个工作单元。</w:t>
      </w:r>
    </w:p>
    <w:p>
      <w:pPr>
        <w:spacing w:line="540" w:lineRule="exact"/>
        <w:ind w:firstLine="464" w:firstLineChars="220"/>
        <w:jc w:val="both"/>
        <w:rPr>
          <w:rFonts w:hint="eastAsia" w:ascii="仿宋_GB2312" w:eastAsia="仿宋_GB2312"/>
          <w:sz w:val="21"/>
          <w:szCs w:val="21"/>
        </w:rPr>
      </w:pPr>
      <w:r>
        <w:rPr>
          <w:rFonts w:hint="eastAsia" w:ascii="仿宋_GB2312" w:eastAsia="仿宋_GB2312"/>
          <w:b/>
          <w:sz w:val="21"/>
          <w:szCs w:val="21"/>
        </w:rPr>
        <w:t>第五条</w:t>
      </w:r>
      <w:r>
        <w:rPr>
          <w:rFonts w:hint="eastAsia" w:ascii="仿宋_GB2312" w:eastAsia="仿宋_GB2312"/>
          <w:sz w:val="21"/>
          <w:szCs w:val="21"/>
        </w:rPr>
        <w:t xml:space="preserve">  未列入本办法的教学服务工作，在执行过程中确需纳入本办法进行统一管理的，由教务处组织专家论证并报院长、书记办公会审定后方可纳入本办法进行统一管理。</w:t>
      </w:r>
    </w:p>
    <w:p>
      <w:pPr>
        <w:spacing w:line="240" w:lineRule="auto"/>
        <w:ind w:firstLine="510" w:firstLineChars="242"/>
        <w:rPr>
          <w:rFonts w:hint="eastAsia" w:ascii="仿宋_GB2312" w:hAnsi="仿宋" w:eastAsia="仿宋_GB2312" w:cs="仿宋_GB2312"/>
          <w:spacing w:val="-20"/>
          <w:sz w:val="36"/>
          <w:szCs w:val="32"/>
        </w:rPr>
      </w:pPr>
      <w:r>
        <w:rPr>
          <w:rFonts w:hint="eastAsia" w:ascii="仿宋_GB2312" w:eastAsia="仿宋_GB2312"/>
          <w:b/>
          <w:sz w:val="21"/>
          <w:szCs w:val="21"/>
        </w:rPr>
        <w:t>第六条</w:t>
      </w:r>
      <w:r>
        <w:rPr>
          <w:rFonts w:hint="eastAsia" w:ascii="仿宋_GB2312" w:eastAsia="仿宋_GB2312"/>
          <w:sz w:val="21"/>
          <w:szCs w:val="21"/>
        </w:rPr>
        <w:t xml:space="preserve">  本办法由教务处负责解释，从发文之日起开始实施，学院原有相同或相冲突的规定同时停止执行。</w:t>
      </w:r>
      <w:r>
        <w:rPr>
          <w:rFonts w:hint="eastAsia" w:ascii="仿宋_GB2312" w:hAnsi="仿宋" w:eastAsia="仿宋_GB2312" w:cs="仿宋_GB2312"/>
          <w:spacing w:val="-20"/>
          <w:sz w:val="36"/>
          <w:szCs w:val="32"/>
        </w:rPr>
        <w:br w:type="page"/>
      </w:r>
    </w:p>
    <w:p>
      <w:pPr>
        <w:spacing w:line="240" w:lineRule="auto"/>
        <w:ind w:firstLine="464" w:firstLineChars="220"/>
        <w:jc w:val="both"/>
        <w:rPr>
          <w:rFonts w:hint="eastAsia" w:ascii="仿宋_GB2312" w:eastAsia="仿宋_GB2312"/>
          <w:b/>
          <w:sz w:val="21"/>
          <w:szCs w:val="21"/>
        </w:rPr>
      </w:pPr>
      <w:r>
        <w:rPr>
          <w:rFonts w:hint="eastAsia" w:ascii="仿宋_GB2312" w:eastAsia="仿宋_GB2312"/>
          <w:b/>
          <w:sz w:val="21"/>
          <w:szCs w:val="21"/>
        </w:rPr>
        <w:t>2. 《东莞理工学院城市学院教学服务工作管理办法实施细则（试行）》</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为进一步明确《东莞理工学院城市学院教学服务工作管理办法（试行）》（以下简称《办法》）中的相关规定，保证办法的顺利、有效执行，根据《办法》的相关规定，结合我院教学服务工作的实际情况，特制订本实施细则。</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一、学科竞赛的组织与辅导工作</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1.各单位需依据《东莞理工学院城市学院学科竞赛管理办法（试行）》的要求填写《东莞理工学院城市学院学科竞赛参赛申请表》，报教务处审批。</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2.竞赛获批的单位需报送《东莞理工学院城市学院学科竞赛教学辅导及竞赛组织管理工作安排表》（表格见附件1）到教务处备案。</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3.竞赛结束后教务处依据附件1组织核算教学辅导及管理工作的教学服务工作单元数。</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4. 每学期15周结束前，由教务处教研科负责核算完成教学辅导及管理工作的教学服务工作单元数。</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二、监考工作</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1.每学期补考、清考工作结束后，各教学单位需做好监考工作记录。</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2.教学单位需于14周结束前完成系（部）提前考试的安排工作，且保证监考教师的稳定性，无极特殊情况不予调整。</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3.教务处于每学期16周公布期末大考考试安排，考试安排一经确定，无极特殊情况不予调整。</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 xml:space="preserve">4.教务处于15周开始组织各单位核算当学期补考、清考、系（部）提前考、期末大考的合计监考任务，并按要求计算教学服务工作单元数。 </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5.监考工作的教学服务工作单元数按学期进行结算，由教务处学籍考务科负责组织核算。</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三、学生专业学习指导</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（一）院内教师开办学生学习指导讲座</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1.各单位需于每学期第3周结束前报送《学生专业学习指导讲座汇总表》到教务处实践教学办公室审批备案（表格见附件2），并严格按备案安排开展讲座。</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2.如在执行过程中因特殊情况个别讲座需要调整的，请填写《学生专业学习指导讲座调整申请表》（表格见附件3）。</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3.每学期15周结束前，由教务处实践教学办公室负责组织核算专业学习指导讲座的教学服务工作单元数。</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（二）硕士研究生考试工作</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1.由各学生单位于每学年第二学期的第12周结束前填写《硕士研究生考取情况及教学服务工作分配情况表》（表格见附件4），并报送到教务处实践教学办公室。</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2.教务处组织核实后，于每学期15周结束前，由教务处实践教学办公室负责核算完成硕士研究生考试组织、动员及专业辅导工作的教学服务工作单元数。</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四、课外体育管理工作</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（一）大学生体质测试工作</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1.由体育教学部负责按照工作安排于体质测试工作结束后2周内完成教学服务工作单元的计算、分配工作。</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2.每学期15周结束前，由教务处教务教材科负责核算完成大学生体质测试工作的教学服务工作单元数。</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（二）组建省级以上（含省级）比赛训练队</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1.体育教学部于每学期开学的第5周结束前，将学院省级以上（含省级）比赛训练队的情况书面报送到教务处教研科备案（表格见附件5）。</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2.体育教学部需于训练正式开始前将训练安排（表格见附件6）报教务处审批备案。</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3.每学期15周结束前，由教务处教研科根据本学年内各训练队体育训练的开展情况核算教学服务工作单元数。</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五、青年教师导师制</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1.每学年第二学期16周结束前，由人事处负责完成青年教师导师制的考核工作。</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2.每学年第二学期16周结束前，由教务处教务教材科根据人事处提供的考核结果，完成教学服务工作单元的核算工作。</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六、其他说明</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1.教学服务工作单元核算后由教务处按项目办理审批手续，汇总报人事处发放酬金。</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2.各单位需指定专人根据教务处核算的教学服务工作单元结果汇总统计本单位教师个人的教学服务工作情况。</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3.本实施细则自公布之日起执行，具体由教务处负责解释。</w:t>
      </w:r>
    </w:p>
    <w:p>
      <w:pPr>
        <w:spacing w:line="540" w:lineRule="exact"/>
        <w:ind w:firstLine="462" w:firstLineChars="220"/>
        <w:jc w:val="both"/>
        <w:rPr>
          <w:rFonts w:hint="eastAsia" w:ascii="仿宋_GB2312" w:eastAsia="仿宋_GB2312"/>
          <w:sz w:val="21"/>
          <w:szCs w:val="21"/>
        </w:rPr>
      </w:pP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附表：1. 东莞理工学院城市学院学科竞赛教学辅导及竞赛组织管理工作安排表</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 xml:space="preserve">      2. 学生专业学习指导讲座汇总表</w:t>
      </w:r>
    </w:p>
    <w:p>
      <w:pPr>
        <w:spacing w:line="540" w:lineRule="exact"/>
        <w:ind w:firstLine="882" w:firstLineChars="420"/>
        <w:jc w:val="both"/>
        <w:rPr>
          <w:rFonts w:hint="eastAsia" w:ascii="仿宋_GB2312" w:eastAsia="仿宋_GB2312"/>
          <w:sz w:val="21"/>
          <w:szCs w:val="21"/>
        </w:rPr>
      </w:pPr>
      <w:r>
        <w:rPr>
          <w:rFonts w:hint="eastAsia" w:ascii="仿宋_GB2312" w:eastAsia="仿宋_GB2312"/>
          <w:sz w:val="21"/>
          <w:szCs w:val="21"/>
        </w:rPr>
        <w:t xml:space="preserve">  3. 学生专业学习指导讲座调整申请表</w:t>
      </w:r>
    </w:p>
    <w:p>
      <w:pPr>
        <w:spacing w:line="540" w:lineRule="exact"/>
        <w:ind w:firstLine="1092" w:firstLineChars="520"/>
        <w:jc w:val="both"/>
        <w:rPr>
          <w:rFonts w:hint="eastAsia" w:ascii="仿宋_GB2312" w:eastAsia="仿宋_GB2312"/>
          <w:sz w:val="21"/>
          <w:szCs w:val="21"/>
        </w:rPr>
      </w:pPr>
      <w:r>
        <w:rPr>
          <w:rFonts w:hint="eastAsia" w:ascii="仿宋_GB2312" w:eastAsia="仿宋_GB2312"/>
          <w:sz w:val="21"/>
          <w:szCs w:val="21"/>
        </w:rPr>
        <w:t>4. 硕士研究生考取情况及教学服务工作分配情况表</w:t>
      </w:r>
    </w:p>
    <w:p>
      <w:pPr>
        <w:spacing w:line="540" w:lineRule="exact"/>
        <w:ind w:firstLine="1092" w:firstLineChars="520"/>
        <w:jc w:val="both"/>
        <w:rPr>
          <w:rFonts w:hint="eastAsia" w:ascii="仿宋_GB2312" w:eastAsia="仿宋_GB2312"/>
          <w:sz w:val="21"/>
          <w:szCs w:val="21"/>
        </w:rPr>
      </w:pPr>
      <w:r>
        <w:rPr>
          <w:rFonts w:hint="eastAsia" w:ascii="仿宋_GB2312" w:eastAsia="仿宋_GB2312"/>
          <w:sz w:val="21"/>
          <w:szCs w:val="21"/>
        </w:rPr>
        <w:t>5. 省级以上（含省级）比赛训练队情况表</w:t>
      </w:r>
    </w:p>
    <w:p>
      <w:pPr>
        <w:spacing w:line="540" w:lineRule="exact"/>
        <w:ind w:firstLine="1092" w:firstLineChars="520"/>
        <w:jc w:val="both"/>
        <w:rPr>
          <w:rFonts w:hint="eastAsia" w:ascii="仿宋_GB2312" w:eastAsia="仿宋_GB2312"/>
          <w:sz w:val="21"/>
          <w:szCs w:val="21"/>
        </w:rPr>
      </w:pPr>
      <w:r>
        <w:rPr>
          <w:rFonts w:hint="eastAsia" w:ascii="仿宋_GB2312" w:eastAsia="仿宋_GB2312"/>
          <w:sz w:val="21"/>
          <w:szCs w:val="21"/>
        </w:rPr>
        <w:t>6. 省级以上（含省级）比赛训练队训练安排表</w:t>
      </w:r>
    </w:p>
    <w:p>
      <w:pPr>
        <w:autoSpaceDE w:val="0"/>
        <w:autoSpaceDN w:val="0"/>
        <w:spacing w:line="360" w:lineRule="auto"/>
        <w:ind w:firstLine="420" w:firstLineChars="200"/>
        <w:rPr>
          <w:rFonts w:hint="eastAsia"/>
          <w:iCs/>
          <w:sz w:val="21"/>
        </w:rPr>
      </w:pPr>
    </w:p>
    <w:p>
      <w:pPr>
        <w:autoSpaceDE w:val="0"/>
        <w:autoSpaceDN w:val="0"/>
        <w:spacing w:line="360" w:lineRule="auto"/>
        <w:ind w:firstLine="420" w:firstLineChars="200"/>
        <w:rPr>
          <w:rFonts w:hint="eastAsia"/>
          <w:iCs/>
          <w:sz w:val="21"/>
        </w:rPr>
      </w:pPr>
    </w:p>
    <w:p>
      <w:pPr>
        <w:autoSpaceDE w:val="0"/>
        <w:autoSpaceDN w:val="0"/>
        <w:spacing w:line="360" w:lineRule="auto"/>
        <w:ind w:firstLine="420" w:firstLineChars="200"/>
        <w:rPr>
          <w:rFonts w:hint="eastAsia"/>
          <w:iCs/>
          <w:sz w:val="21"/>
        </w:rPr>
      </w:pPr>
    </w:p>
    <w:p>
      <w:pPr>
        <w:autoSpaceDE w:val="0"/>
        <w:autoSpaceDN w:val="0"/>
        <w:spacing w:line="360" w:lineRule="auto"/>
        <w:ind w:firstLine="420" w:firstLineChars="200"/>
        <w:rPr>
          <w:rFonts w:hint="eastAsia"/>
          <w:iCs/>
          <w:sz w:val="21"/>
        </w:rPr>
      </w:pPr>
    </w:p>
    <w:p>
      <w:pPr>
        <w:autoSpaceDE w:val="0"/>
        <w:autoSpaceDN w:val="0"/>
        <w:spacing w:line="360" w:lineRule="auto"/>
        <w:ind w:firstLine="420" w:firstLineChars="200"/>
        <w:rPr>
          <w:rFonts w:hint="eastAsia"/>
          <w:iCs/>
          <w:sz w:val="21"/>
        </w:rPr>
      </w:pPr>
    </w:p>
    <w:p>
      <w:pPr>
        <w:autoSpaceDE w:val="0"/>
        <w:autoSpaceDN w:val="0"/>
        <w:spacing w:line="360" w:lineRule="auto"/>
        <w:ind w:firstLine="420" w:firstLineChars="200"/>
        <w:rPr>
          <w:rFonts w:hint="eastAsia"/>
          <w:iCs/>
          <w:sz w:val="21"/>
        </w:rPr>
      </w:pPr>
    </w:p>
    <w:p>
      <w:pPr>
        <w:autoSpaceDE w:val="0"/>
        <w:autoSpaceDN w:val="0"/>
        <w:spacing w:line="360" w:lineRule="auto"/>
        <w:ind w:firstLine="420" w:firstLineChars="200"/>
        <w:rPr>
          <w:rFonts w:hint="eastAsia"/>
          <w:iCs/>
          <w:sz w:val="21"/>
        </w:rPr>
      </w:pPr>
    </w:p>
    <w:p>
      <w:pPr>
        <w:autoSpaceDE w:val="0"/>
        <w:autoSpaceDN w:val="0"/>
        <w:spacing w:line="360" w:lineRule="auto"/>
        <w:ind w:firstLine="420" w:firstLineChars="200"/>
        <w:rPr>
          <w:rFonts w:hint="eastAsia"/>
          <w:iCs/>
          <w:sz w:val="21"/>
        </w:rPr>
      </w:pPr>
    </w:p>
    <w:p>
      <w:pPr>
        <w:autoSpaceDE w:val="0"/>
        <w:autoSpaceDN w:val="0"/>
        <w:spacing w:line="360" w:lineRule="auto"/>
        <w:ind w:firstLine="420" w:firstLineChars="200"/>
        <w:rPr>
          <w:rFonts w:hint="eastAsia"/>
          <w:iCs/>
          <w:sz w:val="21"/>
        </w:rPr>
      </w:pPr>
    </w:p>
    <w:p>
      <w:pPr>
        <w:autoSpaceDE w:val="0"/>
        <w:autoSpaceDN w:val="0"/>
        <w:spacing w:line="360" w:lineRule="auto"/>
        <w:ind w:firstLine="420" w:firstLineChars="200"/>
        <w:rPr>
          <w:rFonts w:hint="eastAsia"/>
          <w:iCs/>
          <w:sz w:val="21"/>
        </w:rPr>
      </w:pPr>
    </w:p>
    <w:p>
      <w:pPr>
        <w:autoSpaceDE w:val="0"/>
        <w:autoSpaceDN w:val="0"/>
        <w:spacing w:line="360" w:lineRule="auto"/>
        <w:ind w:firstLine="420" w:firstLineChars="200"/>
        <w:rPr>
          <w:rFonts w:hint="eastAsia"/>
          <w:iCs/>
          <w:sz w:val="21"/>
        </w:rPr>
      </w:pPr>
    </w:p>
    <w:p>
      <w:pPr>
        <w:autoSpaceDE w:val="0"/>
        <w:autoSpaceDN w:val="0"/>
        <w:spacing w:line="360" w:lineRule="auto"/>
        <w:ind w:firstLine="420" w:firstLineChars="200"/>
        <w:rPr>
          <w:rFonts w:hint="eastAsia"/>
          <w:iCs/>
          <w:sz w:val="21"/>
        </w:rPr>
      </w:pPr>
    </w:p>
    <w:p>
      <w:pPr>
        <w:autoSpaceDE w:val="0"/>
        <w:autoSpaceDN w:val="0"/>
        <w:spacing w:line="360" w:lineRule="auto"/>
        <w:ind w:firstLine="420" w:firstLineChars="200"/>
        <w:rPr>
          <w:rFonts w:hint="eastAsia"/>
          <w:iCs/>
          <w:sz w:val="21"/>
        </w:rPr>
      </w:pPr>
    </w:p>
    <w:p>
      <w:pPr>
        <w:autoSpaceDE w:val="0"/>
        <w:autoSpaceDN w:val="0"/>
        <w:spacing w:line="360" w:lineRule="auto"/>
        <w:ind w:firstLine="420" w:firstLineChars="200"/>
        <w:rPr>
          <w:rFonts w:hint="eastAsia"/>
          <w:iCs/>
          <w:sz w:val="21"/>
        </w:rPr>
      </w:pPr>
    </w:p>
    <w:p>
      <w:pPr>
        <w:autoSpaceDE w:val="0"/>
        <w:autoSpaceDN w:val="0"/>
        <w:spacing w:line="360" w:lineRule="auto"/>
        <w:ind w:firstLine="420" w:firstLineChars="200"/>
        <w:rPr>
          <w:rFonts w:hint="eastAsia"/>
          <w:iCs/>
          <w:sz w:val="21"/>
        </w:rPr>
      </w:pPr>
    </w:p>
    <w:p>
      <w:pPr>
        <w:autoSpaceDE w:val="0"/>
        <w:autoSpaceDN w:val="0"/>
        <w:spacing w:line="360" w:lineRule="auto"/>
        <w:ind w:firstLine="420" w:firstLineChars="200"/>
        <w:rPr>
          <w:rFonts w:hint="eastAsia"/>
          <w:iCs/>
          <w:sz w:val="21"/>
        </w:rPr>
      </w:pPr>
    </w:p>
    <w:p>
      <w:pPr>
        <w:autoSpaceDE w:val="0"/>
        <w:autoSpaceDN w:val="0"/>
        <w:spacing w:line="360" w:lineRule="auto"/>
        <w:ind w:firstLine="420" w:firstLineChars="200"/>
        <w:rPr>
          <w:rFonts w:hint="eastAsia"/>
          <w:iCs/>
          <w:sz w:val="21"/>
        </w:rPr>
      </w:pPr>
    </w:p>
    <w:p>
      <w:pPr>
        <w:autoSpaceDE w:val="0"/>
        <w:autoSpaceDN w:val="0"/>
        <w:spacing w:line="360" w:lineRule="auto"/>
        <w:ind w:firstLine="420" w:firstLineChars="200"/>
        <w:rPr>
          <w:rFonts w:hint="eastAsia"/>
          <w:iCs/>
          <w:sz w:val="21"/>
        </w:rPr>
      </w:pPr>
    </w:p>
    <w:p>
      <w:pPr>
        <w:autoSpaceDE w:val="0"/>
        <w:autoSpaceDN w:val="0"/>
        <w:spacing w:line="360" w:lineRule="auto"/>
        <w:ind w:firstLine="420" w:firstLineChars="200"/>
        <w:rPr>
          <w:rFonts w:hint="eastAsia"/>
          <w:iCs/>
          <w:sz w:val="21"/>
        </w:rPr>
      </w:pPr>
    </w:p>
    <w:p>
      <w:pPr>
        <w:autoSpaceDE w:val="0"/>
        <w:autoSpaceDN w:val="0"/>
        <w:spacing w:line="360" w:lineRule="auto"/>
        <w:ind w:firstLine="420" w:firstLineChars="200"/>
        <w:rPr>
          <w:rFonts w:hint="eastAsia"/>
          <w:iCs/>
          <w:sz w:val="21"/>
        </w:rPr>
      </w:pPr>
    </w:p>
    <w:p>
      <w:pPr>
        <w:autoSpaceDE w:val="0"/>
        <w:autoSpaceDN w:val="0"/>
        <w:spacing w:line="360" w:lineRule="auto"/>
        <w:ind w:firstLine="420" w:firstLineChars="200"/>
        <w:rPr>
          <w:rFonts w:hint="eastAsia"/>
          <w:iCs/>
          <w:sz w:val="21"/>
        </w:rPr>
      </w:pPr>
    </w:p>
    <w:p>
      <w:pPr>
        <w:autoSpaceDE w:val="0"/>
        <w:autoSpaceDN w:val="0"/>
        <w:spacing w:line="360" w:lineRule="auto"/>
        <w:ind w:firstLine="420" w:firstLineChars="200"/>
        <w:rPr>
          <w:iCs/>
          <w:sz w:val="21"/>
        </w:rPr>
      </w:pPr>
    </w:p>
    <w:p>
      <w:pPr>
        <w:ind w:firstLine="405"/>
        <w:rPr>
          <w:rFonts w:hint="eastAsia"/>
          <w:b/>
          <w:bCs/>
          <w:sz w:val="24"/>
          <w:szCs w:val="24"/>
        </w:rPr>
      </w:pPr>
      <w:r>
        <w:rPr>
          <w:rFonts w:hint="eastAsia"/>
          <w:b/>
          <w:bCs/>
          <w:sz w:val="24"/>
          <w:szCs w:val="24"/>
        </w:rPr>
        <w:t>六、教学单位考核具体功能描述</w:t>
      </w:r>
    </w:p>
    <w:p>
      <w:pPr>
        <w:ind w:firstLine="405"/>
        <w:rPr>
          <w:rFonts w:hint="eastAsia"/>
          <w:b/>
          <w:bCs/>
          <w:sz w:val="24"/>
          <w:szCs w:val="24"/>
        </w:rPr>
      </w:pPr>
      <w:r>
        <w:rPr>
          <w:rFonts w:hint="eastAsia"/>
          <w:b/>
          <w:bCs/>
          <w:sz w:val="24"/>
          <w:szCs w:val="24"/>
        </w:rPr>
        <w:t>（一）考核指标内容</w:t>
      </w:r>
    </w:p>
    <w:tbl>
      <w:tblPr>
        <w:tblStyle w:val="9"/>
        <w:tblW w:w="8092" w:type="dxa"/>
        <w:tblInd w:w="96" w:type="dxa"/>
        <w:tblLayout w:type="fixed"/>
        <w:tblCellMar>
          <w:top w:w="0" w:type="dxa"/>
          <w:left w:w="108" w:type="dxa"/>
          <w:bottom w:w="0" w:type="dxa"/>
          <w:right w:w="108" w:type="dxa"/>
        </w:tblCellMar>
      </w:tblPr>
      <w:tblGrid>
        <w:gridCol w:w="1300"/>
        <w:gridCol w:w="6792"/>
      </w:tblGrid>
      <w:tr>
        <w:tblPrEx>
          <w:tblLayout w:type="fixed"/>
          <w:tblCellMar>
            <w:top w:w="0" w:type="dxa"/>
            <w:left w:w="108" w:type="dxa"/>
            <w:bottom w:w="0" w:type="dxa"/>
            <w:right w:w="108" w:type="dxa"/>
          </w:tblCellMar>
        </w:tblPrEx>
        <w:trPr>
          <w:trHeight w:val="295" w:hRule="atLeast"/>
        </w:trPr>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spacing w:line="240" w:lineRule="auto"/>
              <w:jc w:val="center"/>
              <w:rPr>
                <w:rFonts w:ascii="宋体" w:hAnsi="宋体" w:cs="宋体"/>
                <w:b/>
                <w:bCs/>
                <w:color w:val="000000"/>
                <w:sz w:val="21"/>
                <w:szCs w:val="21"/>
              </w:rPr>
            </w:pPr>
            <w:r>
              <w:rPr>
                <w:rFonts w:hint="eastAsia" w:ascii="宋体" w:hAnsi="宋体" w:cs="宋体"/>
                <w:b/>
                <w:bCs/>
                <w:color w:val="000000"/>
                <w:sz w:val="21"/>
                <w:szCs w:val="21"/>
              </w:rPr>
              <w:t>项目</w:t>
            </w:r>
          </w:p>
        </w:tc>
        <w:tc>
          <w:tcPr>
            <w:tcW w:w="6792" w:type="dxa"/>
            <w:tcBorders>
              <w:top w:val="single" w:color="auto" w:sz="4" w:space="0"/>
              <w:left w:val="nil"/>
              <w:bottom w:val="single" w:color="auto" w:sz="4" w:space="0"/>
              <w:right w:val="single" w:color="auto" w:sz="4" w:space="0"/>
            </w:tcBorders>
            <w:shd w:val="clear" w:color="000000" w:fill="FFFFFF"/>
            <w:vAlign w:val="center"/>
          </w:tcPr>
          <w:p>
            <w:pPr>
              <w:widowControl/>
              <w:snapToGrid/>
              <w:spacing w:line="240" w:lineRule="auto"/>
              <w:jc w:val="center"/>
              <w:rPr>
                <w:rFonts w:ascii="宋体" w:hAnsi="宋体" w:cs="宋体"/>
                <w:b/>
                <w:bCs/>
                <w:color w:val="000000"/>
                <w:sz w:val="21"/>
                <w:szCs w:val="21"/>
              </w:rPr>
            </w:pPr>
            <w:r>
              <w:rPr>
                <w:rFonts w:hint="eastAsia" w:ascii="宋体" w:hAnsi="宋体" w:cs="宋体"/>
                <w:b/>
                <w:bCs/>
                <w:color w:val="000000"/>
                <w:sz w:val="21"/>
                <w:szCs w:val="21"/>
              </w:rPr>
              <w:t>功能描述</w:t>
            </w:r>
          </w:p>
        </w:tc>
      </w:tr>
      <w:tr>
        <w:tblPrEx>
          <w:tblLayout w:type="fixed"/>
          <w:tblCellMar>
            <w:top w:w="0" w:type="dxa"/>
            <w:left w:w="108" w:type="dxa"/>
            <w:bottom w:w="0" w:type="dxa"/>
            <w:right w:w="108" w:type="dxa"/>
          </w:tblCellMar>
        </w:tblPrEx>
        <w:trPr>
          <w:trHeight w:val="450" w:hRule="atLeast"/>
        </w:trPr>
        <w:tc>
          <w:tcPr>
            <w:tcW w:w="13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snapToGrid/>
              <w:spacing w:line="240" w:lineRule="auto"/>
              <w:jc w:val="center"/>
              <w:rPr>
                <w:rFonts w:ascii="宋体" w:hAnsi="宋体" w:cs="宋体"/>
                <w:b/>
                <w:bCs/>
                <w:color w:val="000000"/>
                <w:sz w:val="21"/>
                <w:szCs w:val="21"/>
              </w:rPr>
            </w:pPr>
            <w:r>
              <w:rPr>
                <w:rFonts w:hint="eastAsia" w:ascii="宋体" w:hAnsi="宋体" w:cs="宋体"/>
                <w:b/>
                <w:bCs/>
                <w:color w:val="000000"/>
                <w:sz w:val="21"/>
                <w:szCs w:val="21"/>
              </w:rPr>
              <w:t>教学管理工作（21.5分）</w:t>
            </w: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一、课堂教学运行（6分）</w:t>
            </w:r>
          </w:p>
        </w:tc>
      </w:tr>
      <w:tr>
        <w:tblPrEx>
          <w:tblLayout w:type="fixed"/>
          <w:tblCellMar>
            <w:top w:w="0" w:type="dxa"/>
            <w:left w:w="108" w:type="dxa"/>
            <w:bottom w:w="0" w:type="dxa"/>
            <w:right w:w="108" w:type="dxa"/>
          </w:tblCellMar>
        </w:tblPrEx>
        <w:trPr>
          <w:trHeight w:val="450" w:hRule="atLeast"/>
        </w:trPr>
        <w:tc>
          <w:tcPr>
            <w:tcW w:w="1300" w:type="dxa"/>
            <w:vMerge w:val="continue"/>
            <w:tcBorders>
              <w:top w:val="nil"/>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1.调停课率（3分）：</w:t>
            </w:r>
          </w:p>
        </w:tc>
      </w:tr>
      <w:tr>
        <w:tblPrEx>
          <w:tblLayout w:type="fixed"/>
          <w:tblCellMar>
            <w:top w:w="0" w:type="dxa"/>
            <w:left w:w="108" w:type="dxa"/>
            <w:bottom w:w="0" w:type="dxa"/>
            <w:right w:w="108" w:type="dxa"/>
          </w:tblCellMar>
        </w:tblPrEx>
        <w:trPr>
          <w:trHeight w:val="450" w:hRule="atLeast"/>
        </w:trPr>
        <w:tc>
          <w:tcPr>
            <w:tcW w:w="1300" w:type="dxa"/>
            <w:vMerge w:val="continue"/>
            <w:tcBorders>
              <w:top w:val="nil"/>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（1）计算：教师调停课率=调停课学时数÷教学单位课程总学时数×100%</w:t>
            </w:r>
          </w:p>
        </w:tc>
      </w:tr>
      <w:tr>
        <w:tblPrEx>
          <w:tblLayout w:type="fixed"/>
          <w:tblCellMar>
            <w:top w:w="0" w:type="dxa"/>
            <w:left w:w="108" w:type="dxa"/>
            <w:bottom w:w="0" w:type="dxa"/>
            <w:right w:w="108" w:type="dxa"/>
          </w:tblCellMar>
        </w:tblPrEx>
        <w:trPr>
          <w:trHeight w:val="450" w:hRule="atLeast"/>
        </w:trPr>
        <w:tc>
          <w:tcPr>
            <w:tcW w:w="1300" w:type="dxa"/>
            <w:vMerge w:val="continue"/>
            <w:tcBorders>
              <w:top w:val="nil"/>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调停课学时数=（换时间课程数+换地点课程数+换教师课程数）×2+临时因故调停课学时数</w:t>
            </w:r>
          </w:p>
        </w:tc>
      </w:tr>
      <w:tr>
        <w:tblPrEx>
          <w:tblLayout w:type="fixed"/>
          <w:tblCellMar>
            <w:top w:w="0" w:type="dxa"/>
            <w:left w:w="108" w:type="dxa"/>
            <w:bottom w:w="0" w:type="dxa"/>
            <w:right w:w="108" w:type="dxa"/>
          </w:tblCellMar>
        </w:tblPrEx>
        <w:trPr>
          <w:trHeight w:val="720" w:hRule="atLeast"/>
        </w:trPr>
        <w:tc>
          <w:tcPr>
            <w:tcW w:w="1300" w:type="dxa"/>
            <w:vMerge w:val="continue"/>
            <w:tcBorders>
              <w:top w:val="nil"/>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（2）分值分配：教师调停课率≤1%的得3分，教师调停课率＞1%的，按调课率由低至高排序，第1-2名2.7分，第3-5名2.4分，第6-8名2.1分，第9名之后1.8分。</w:t>
            </w:r>
          </w:p>
        </w:tc>
      </w:tr>
      <w:tr>
        <w:tblPrEx>
          <w:tblLayout w:type="fixed"/>
          <w:tblCellMar>
            <w:top w:w="0" w:type="dxa"/>
            <w:left w:w="108" w:type="dxa"/>
            <w:bottom w:w="0" w:type="dxa"/>
            <w:right w:w="108" w:type="dxa"/>
          </w:tblCellMar>
        </w:tblPrEx>
        <w:trPr>
          <w:trHeight w:val="450" w:hRule="atLeast"/>
        </w:trPr>
        <w:tc>
          <w:tcPr>
            <w:tcW w:w="1300" w:type="dxa"/>
            <w:vMerge w:val="continue"/>
            <w:tcBorders>
              <w:top w:val="nil"/>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（3）说明：</w:t>
            </w:r>
          </w:p>
        </w:tc>
      </w:tr>
      <w:tr>
        <w:tblPrEx>
          <w:tblLayout w:type="fixed"/>
          <w:tblCellMar>
            <w:top w:w="0" w:type="dxa"/>
            <w:left w:w="108" w:type="dxa"/>
            <w:bottom w:w="0" w:type="dxa"/>
            <w:right w:w="108" w:type="dxa"/>
          </w:tblCellMar>
        </w:tblPrEx>
        <w:trPr>
          <w:trHeight w:val="735" w:hRule="atLeast"/>
        </w:trPr>
        <w:tc>
          <w:tcPr>
            <w:tcW w:w="1300" w:type="dxa"/>
            <w:vMerge w:val="continue"/>
            <w:tcBorders>
              <w:top w:val="nil"/>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①换时间、换地点、换教师的课程一门课的调整申请按2个调停课学时计算，因故调停课的按实际申请调停课学时计算；</w:t>
            </w:r>
          </w:p>
        </w:tc>
      </w:tr>
      <w:tr>
        <w:tblPrEx>
          <w:tblLayout w:type="fixed"/>
          <w:tblCellMar>
            <w:top w:w="0" w:type="dxa"/>
            <w:left w:w="108" w:type="dxa"/>
            <w:bottom w:w="0" w:type="dxa"/>
            <w:right w:w="108" w:type="dxa"/>
          </w:tblCellMar>
        </w:tblPrEx>
        <w:trPr>
          <w:trHeight w:val="450" w:hRule="atLeast"/>
        </w:trPr>
        <w:tc>
          <w:tcPr>
            <w:tcW w:w="1300" w:type="dxa"/>
            <w:vMerge w:val="continue"/>
            <w:tcBorders>
              <w:top w:val="nil"/>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②因婚假、产假（看护假）、丧假产生的调、停课学时不计入“临时因故调停课学时数”内；</w:t>
            </w:r>
          </w:p>
        </w:tc>
      </w:tr>
      <w:tr>
        <w:tblPrEx>
          <w:tblLayout w:type="fixed"/>
          <w:tblCellMar>
            <w:top w:w="0" w:type="dxa"/>
            <w:left w:w="108" w:type="dxa"/>
            <w:bottom w:w="0" w:type="dxa"/>
            <w:right w:w="108" w:type="dxa"/>
          </w:tblCellMar>
        </w:tblPrEx>
        <w:trPr>
          <w:trHeight w:val="450" w:hRule="atLeast"/>
        </w:trPr>
        <w:tc>
          <w:tcPr>
            <w:tcW w:w="1300" w:type="dxa"/>
            <w:vMerge w:val="continue"/>
            <w:tcBorders>
              <w:top w:val="nil"/>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③因学院统一布置、安排工作产生的调、停课学时不计入“临时因故调停课学时数”内；</w:t>
            </w:r>
          </w:p>
        </w:tc>
      </w:tr>
      <w:tr>
        <w:tblPrEx>
          <w:tblLayout w:type="fixed"/>
          <w:tblCellMar>
            <w:top w:w="0" w:type="dxa"/>
            <w:left w:w="108" w:type="dxa"/>
            <w:bottom w:w="0" w:type="dxa"/>
            <w:right w:w="108" w:type="dxa"/>
          </w:tblCellMar>
        </w:tblPrEx>
        <w:trPr>
          <w:trHeight w:val="450" w:hRule="atLeast"/>
        </w:trPr>
        <w:tc>
          <w:tcPr>
            <w:tcW w:w="1300" w:type="dxa"/>
            <w:vMerge w:val="continue"/>
            <w:tcBorders>
              <w:top w:val="nil"/>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④课表运行的第1-2周内因为满足教学需要提出调整的不计入“调停课学时数”内；</w:t>
            </w:r>
          </w:p>
        </w:tc>
      </w:tr>
      <w:tr>
        <w:tblPrEx>
          <w:tblLayout w:type="fixed"/>
          <w:tblCellMar>
            <w:top w:w="0" w:type="dxa"/>
            <w:left w:w="108" w:type="dxa"/>
            <w:bottom w:w="0" w:type="dxa"/>
            <w:right w:w="108" w:type="dxa"/>
          </w:tblCellMar>
        </w:tblPrEx>
        <w:trPr>
          <w:trHeight w:val="450" w:hRule="atLeast"/>
        </w:trPr>
        <w:tc>
          <w:tcPr>
            <w:tcW w:w="1300" w:type="dxa"/>
            <w:vMerge w:val="continue"/>
            <w:tcBorders>
              <w:top w:val="nil"/>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⑤因教师辞职（脱产进修）导致的课程调整不计入“临时因故调停课学时数”内。</w:t>
            </w:r>
          </w:p>
        </w:tc>
      </w:tr>
      <w:tr>
        <w:tblPrEx>
          <w:tblLayout w:type="fixed"/>
          <w:tblCellMar>
            <w:top w:w="0" w:type="dxa"/>
            <w:left w:w="108" w:type="dxa"/>
            <w:bottom w:w="0" w:type="dxa"/>
            <w:right w:w="108" w:type="dxa"/>
          </w:tblCellMar>
        </w:tblPrEx>
        <w:trPr>
          <w:trHeight w:val="450" w:hRule="atLeast"/>
        </w:trPr>
        <w:tc>
          <w:tcPr>
            <w:tcW w:w="1300" w:type="dxa"/>
            <w:vMerge w:val="continue"/>
            <w:tcBorders>
              <w:top w:val="nil"/>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2.教学事故发生率（3分）：</w:t>
            </w:r>
          </w:p>
        </w:tc>
      </w:tr>
      <w:tr>
        <w:tblPrEx>
          <w:tblLayout w:type="fixed"/>
          <w:tblCellMar>
            <w:top w:w="0" w:type="dxa"/>
            <w:left w:w="108" w:type="dxa"/>
            <w:bottom w:w="0" w:type="dxa"/>
            <w:right w:w="108" w:type="dxa"/>
          </w:tblCellMar>
        </w:tblPrEx>
        <w:trPr>
          <w:trHeight w:val="450" w:hRule="atLeast"/>
        </w:trPr>
        <w:tc>
          <w:tcPr>
            <w:tcW w:w="1300" w:type="dxa"/>
            <w:vMerge w:val="continue"/>
            <w:tcBorders>
              <w:top w:val="nil"/>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（1）计算</w:t>
            </w:r>
          </w:p>
        </w:tc>
      </w:tr>
      <w:tr>
        <w:tblPrEx>
          <w:tblLayout w:type="fixed"/>
          <w:tblCellMar>
            <w:top w:w="0" w:type="dxa"/>
            <w:left w:w="108" w:type="dxa"/>
            <w:bottom w:w="0" w:type="dxa"/>
            <w:right w:w="108" w:type="dxa"/>
          </w:tblCellMar>
        </w:tblPrEx>
        <w:trPr>
          <w:trHeight w:val="720" w:hRule="atLeast"/>
        </w:trPr>
        <w:tc>
          <w:tcPr>
            <w:tcW w:w="1300" w:type="dxa"/>
            <w:vMerge w:val="continue"/>
            <w:tcBorders>
              <w:top w:val="nil"/>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发生率＝教学事故折算次数÷教学单位总学时数，发生率为0得3分，按计算值从低至高排序，1-2名2.7分，第3-5名2.4分，第6-8名2.1分，第9名之后1.8分。</w:t>
            </w:r>
          </w:p>
        </w:tc>
      </w:tr>
      <w:tr>
        <w:tblPrEx>
          <w:tblLayout w:type="fixed"/>
          <w:tblCellMar>
            <w:top w:w="0" w:type="dxa"/>
            <w:left w:w="108" w:type="dxa"/>
            <w:bottom w:w="0" w:type="dxa"/>
            <w:right w:w="108" w:type="dxa"/>
          </w:tblCellMar>
        </w:tblPrEx>
        <w:trPr>
          <w:trHeight w:val="720" w:hRule="atLeast"/>
        </w:trPr>
        <w:tc>
          <w:tcPr>
            <w:tcW w:w="1300" w:type="dxa"/>
            <w:vMerge w:val="continue"/>
            <w:tcBorders>
              <w:top w:val="nil"/>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single" w:color="auto" w:sz="4" w:space="0"/>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（2）课堂教学过程中发生四级事故折算数为1；三级教学事故折算次数为2；二级教学事故折算次数为4；一级教学事故折算次数为8。</w:t>
            </w:r>
          </w:p>
        </w:tc>
      </w:tr>
      <w:tr>
        <w:tblPrEx>
          <w:tblLayout w:type="fixed"/>
          <w:tblCellMar>
            <w:top w:w="0" w:type="dxa"/>
            <w:left w:w="108" w:type="dxa"/>
            <w:bottom w:w="0" w:type="dxa"/>
            <w:right w:w="108" w:type="dxa"/>
          </w:tblCellMar>
        </w:tblPrEx>
        <w:trPr>
          <w:trHeight w:val="405" w:hRule="atLeast"/>
        </w:trPr>
        <w:tc>
          <w:tcPr>
            <w:tcW w:w="13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snapToGrid/>
              <w:spacing w:line="240" w:lineRule="auto"/>
              <w:jc w:val="center"/>
              <w:rPr>
                <w:rFonts w:hint="eastAsia" w:ascii="宋体" w:hAnsi="宋体" w:cs="宋体"/>
                <w:b/>
                <w:bCs/>
                <w:color w:val="000000"/>
                <w:sz w:val="21"/>
                <w:szCs w:val="21"/>
              </w:rPr>
            </w:pPr>
            <w:r>
              <w:rPr>
                <w:rFonts w:hint="eastAsia" w:ascii="宋体" w:hAnsi="宋体" w:cs="宋体"/>
                <w:b/>
                <w:bCs/>
                <w:color w:val="000000"/>
                <w:sz w:val="21"/>
                <w:szCs w:val="21"/>
              </w:rPr>
              <w:t>教学管理工作（21.5分）</w:t>
            </w:r>
          </w:p>
          <w:p>
            <w:pPr>
              <w:widowControl/>
              <w:snapToGrid/>
              <w:spacing w:line="240" w:lineRule="auto"/>
              <w:jc w:val="center"/>
              <w:rPr>
                <w:rFonts w:hint="eastAsia" w:ascii="宋体" w:hAnsi="宋体" w:cs="宋体"/>
                <w:b/>
                <w:bCs/>
                <w:color w:val="000000"/>
                <w:sz w:val="21"/>
                <w:szCs w:val="21"/>
              </w:rPr>
            </w:pPr>
          </w:p>
          <w:p>
            <w:pPr>
              <w:widowControl/>
              <w:snapToGrid/>
              <w:spacing w:line="240" w:lineRule="auto"/>
              <w:jc w:val="center"/>
              <w:rPr>
                <w:rFonts w:hint="eastAsia" w:ascii="宋体" w:hAnsi="宋体" w:cs="宋体"/>
                <w:b/>
                <w:bCs/>
                <w:color w:val="000000"/>
                <w:sz w:val="21"/>
                <w:szCs w:val="21"/>
              </w:rPr>
            </w:pPr>
          </w:p>
          <w:p>
            <w:pPr>
              <w:widowControl/>
              <w:snapToGrid/>
              <w:spacing w:line="240" w:lineRule="auto"/>
              <w:jc w:val="center"/>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二、考试及成绩管理（4分）</w:t>
            </w:r>
          </w:p>
        </w:tc>
      </w:tr>
      <w:tr>
        <w:tblPrEx>
          <w:tblLayout w:type="fixed"/>
          <w:tblCellMar>
            <w:top w:w="0" w:type="dxa"/>
            <w:left w:w="108" w:type="dxa"/>
            <w:bottom w:w="0" w:type="dxa"/>
            <w:right w:w="108" w:type="dxa"/>
          </w:tblCellMar>
        </w:tblPrEx>
        <w:trPr>
          <w:trHeight w:val="450" w:hRule="atLeast"/>
        </w:trPr>
        <w:tc>
          <w:tcPr>
            <w:tcW w:w="1300" w:type="dxa"/>
            <w:vMerge w:val="continue"/>
            <w:tcBorders>
              <w:top w:val="nil"/>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1.调考率（1分）：</w:t>
            </w:r>
          </w:p>
        </w:tc>
      </w:tr>
      <w:tr>
        <w:tblPrEx>
          <w:tblLayout w:type="fixed"/>
          <w:tblCellMar>
            <w:top w:w="0" w:type="dxa"/>
            <w:left w:w="108" w:type="dxa"/>
            <w:bottom w:w="0" w:type="dxa"/>
            <w:right w:w="108" w:type="dxa"/>
          </w:tblCellMar>
        </w:tblPrEx>
        <w:trPr>
          <w:trHeight w:val="720" w:hRule="atLeast"/>
        </w:trPr>
        <w:tc>
          <w:tcPr>
            <w:tcW w:w="1300" w:type="dxa"/>
            <w:vMerge w:val="continue"/>
            <w:tcBorders>
              <w:top w:val="nil"/>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single" w:color="auto" w:sz="4" w:space="0"/>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教学单位调考率＝教学单位调考人次数÷教学单位监考人次数×100%，本单位调考率低于2%的，得1分，高于的按教学单位调考率由低至高排名，1-2名0.9分，第3-5名0.8分，第6-8名0.7分，第9名之后0.6分。</w:t>
            </w:r>
          </w:p>
        </w:tc>
      </w:tr>
      <w:tr>
        <w:tblPrEx>
          <w:tblLayout w:type="fixed"/>
          <w:tblCellMar>
            <w:top w:w="0" w:type="dxa"/>
            <w:left w:w="108" w:type="dxa"/>
            <w:bottom w:w="0" w:type="dxa"/>
            <w:right w:w="108" w:type="dxa"/>
          </w:tblCellMar>
        </w:tblPrEx>
        <w:trPr>
          <w:trHeight w:val="405" w:hRule="atLeast"/>
        </w:trPr>
        <w:tc>
          <w:tcPr>
            <w:tcW w:w="1300" w:type="dxa"/>
            <w:vMerge w:val="continue"/>
            <w:tcBorders>
              <w:top w:val="nil"/>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single" w:color="auto" w:sz="4" w:space="0"/>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2.教学事故发生率（2分）：</w:t>
            </w:r>
          </w:p>
        </w:tc>
      </w:tr>
      <w:tr>
        <w:tblPrEx>
          <w:tblLayout w:type="fixed"/>
          <w:tblCellMar>
            <w:top w:w="0" w:type="dxa"/>
            <w:left w:w="108" w:type="dxa"/>
            <w:bottom w:w="0" w:type="dxa"/>
            <w:right w:w="108" w:type="dxa"/>
          </w:tblCellMar>
        </w:tblPrEx>
        <w:trPr>
          <w:trHeight w:val="405" w:hRule="atLeast"/>
        </w:trPr>
        <w:tc>
          <w:tcPr>
            <w:tcW w:w="1300" w:type="dxa"/>
            <w:vMerge w:val="continue"/>
            <w:tcBorders>
              <w:top w:val="nil"/>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（1）计算</w:t>
            </w:r>
          </w:p>
        </w:tc>
      </w:tr>
      <w:tr>
        <w:tblPrEx>
          <w:tblLayout w:type="fixed"/>
          <w:tblCellMar>
            <w:top w:w="0" w:type="dxa"/>
            <w:left w:w="108" w:type="dxa"/>
            <w:bottom w:w="0" w:type="dxa"/>
            <w:right w:w="108" w:type="dxa"/>
          </w:tblCellMar>
        </w:tblPrEx>
        <w:trPr>
          <w:trHeight w:val="720" w:hRule="atLeast"/>
        </w:trPr>
        <w:tc>
          <w:tcPr>
            <w:tcW w:w="1300" w:type="dxa"/>
            <w:vMerge w:val="continue"/>
            <w:tcBorders>
              <w:top w:val="nil"/>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发生率＝教学事故折算次数/教学单位监考总人次数，发生率为0得2分，按计算值从低至高排序，1-2名1.8分，第3-5名1.6分，第6-8名1.4分，第9名之后1.2分。</w:t>
            </w:r>
          </w:p>
        </w:tc>
      </w:tr>
      <w:tr>
        <w:tblPrEx>
          <w:tblLayout w:type="fixed"/>
          <w:tblCellMar>
            <w:top w:w="0" w:type="dxa"/>
            <w:left w:w="108" w:type="dxa"/>
            <w:bottom w:w="0" w:type="dxa"/>
            <w:right w:w="108" w:type="dxa"/>
          </w:tblCellMar>
        </w:tblPrEx>
        <w:trPr>
          <w:trHeight w:val="720" w:hRule="atLeast"/>
        </w:trPr>
        <w:tc>
          <w:tcPr>
            <w:tcW w:w="1300" w:type="dxa"/>
            <w:vMerge w:val="continue"/>
            <w:tcBorders>
              <w:top w:val="nil"/>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（2）考试过程中发生四级事故折算数为1；三级教学事故折算次数为2；二级教学事故折算次数为4；一级教学事故折算次数为8。</w:t>
            </w:r>
          </w:p>
        </w:tc>
      </w:tr>
      <w:tr>
        <w:tblPrEx>
          <w:tblLayout w:type="fixed"/>
          <w:tblCellMar>
            <w:top w:w="0" w:type="dxa"/>
            <w:left w:w="108" w:type="dxa"/>
            <w:bottom w:w="0" w:type="dxa"/>
            <w:right w:w="108" w:type="dxa"/>
          </w:tblCellMar>
        </w:tblPrEx>
        <w:trPr>
          <w:trHeight w:val="450" w:hRule="atLeast"/>
        </w:trPr>
        <w:tc>
          <w:tcPr>
            <w:tcW w:w="1300" w:type="dxa"/>
            <w:vMerge w:val="continue"/>
            <w:tcBorders>
              <w:top w:val="nil"/>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3.成绩提交与更改（1分）：</w:t>
            </w:r>
          </w:p>
        </w:tc>
      </w:tr>
      <w:tr>
        <w:tblPrEx>
          <w:tblLayout w:type="fixed"/>
          <w:tblCellMar>
            <w:top w:w="0" w:type="dxa"/>
            <w:left w:w="108" w:type="dxa"/>
            <w:bottom w:w="0" w:type="dxa"/>
            <w:right w:w="108" w:type="dxa"/>
          </w:tblCellMar>
        </w:tblPrEx>
        <w:trPr>
          <w:trHeight w:val="675" w:hRule="atLeast"/>
        </w:trPr>
        <w:tc>
          <w:tcPr>
            <w:tcW w:w="1300" w:type="dxa"/>
            <w:vMerge w:val="continue"/>
            <w:tcBorders>
              <w:top w:val="nil"/>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（1）成绩提交部分（0.5分），按照每学期期末考试及补考成绩提交情况计算得分，如全部按时完成的得0.5分，少于5个教学班未按时提交得0.3分，5个教学班或以上未按时提交得0.1分。</w:t>
            </w:r>
          </w:p>
        </w:tc>
      </w:tr>
      <w:tr>
        <w:tblPrEx>
          <w:tblLayout w:type="fixed"/>
          <w:tblCellMar>
            <w:top w:w="0" w:type="dxa"/>
            <w:left w:w="108" w:type="dxa"/>
            <w:bottom w:w="0" w:type="dxa"/>
            <w:right w:w="108" w:type="dxa"/>
          </w:tblCellMar>
        </w:tblPrEx>
        <w:trPr>
          <w:trHeight w:val="750" w:hRule="atLeast"/>
        </w:trPr>
        <w:tc>
          <w:tcPr>
            <w:tcW w:w="1300" w:type="dxa"/>
            <w:vMerge w:val="continue"/>
            <w:tcBorders>
              <w:top w:val="nil"/>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（2）成绩更改部分（0.5分），按照每学期修改成绩申请次数少于5次的得0.5分，少于10次得0.3分，10次或以上得0.1分。</w:t>
            </w:r>
          </w:p>
        </w:tc>
      </w:tr>
      <w:tr>
        <w:tblPrEx>
          <w:tblLayout w:type="fixed"/>
          <w:tblCellMar>
            <w:top w:w="0" w:type="dxa"/>
            <w:left w:w="108" w:type="dxa"/>
            <w:bottom w:w="0" w:type="dxa"/>
            <w:right w:w="108" w:type="dxa"/>
          </w:tblCellMar>
        </w:tblPrEx>
        <w:trPr>
          <w:trHeight w:val="420" w:hRule="atLeast"/>
        </w:trPr>
        <w:tc>
          <w:tcPr>
            <w:tcW w:w="1300" w:type="dxa"/>
            <w:vMerge w:val="continue"/>
            <w:tcBorders>
              <w:top w:val="nil"/>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三、教学管理任务（3分）</w:t>
            </w:r>
          </w:p>
        </w:tc>
      </w:tr>
      <w:tr>
        <w:tblPrEx>
          <w:tblLayout w:type="fixed"/>
          <w:tblCellMar>
            <w:top w:w="0" w:type="dxa"/>
            <w:left w:w="108" w:type="dxa"/>
            <w:bottom w:w="0" w:type="dxa"/>
            <w:right w:w="108" w:type="dxa"/>
          </w:tblCellMar>
        </w:tblPrEx>
        <w:trPr>
          <w:trHeight w:val="690" w:hRule="atLeast"/>
        </w:trPr>
        <w:tc>
          <w:tcPr>
            <w:tcW w:w="1300" w:type="dxa"/>
            <w:vMerge w:val="continue"/>
            <w:tcBorders>
              <w:top w:val="nil"/>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1.各单位完成总标准学时数（2分）：按标准学时数由多到少排名，1-2名2分，第3-5名1.8分，第6-8名1.6分，第9-11名1.4分，第12名及之后1.2分。</w:t>
            </w:r>
          </w:p>
        </w:tc>
      </w:tr>
      <w:tr>
        <w:tblPrEx>
          <w:tblLayout w:type="fixed"/>
          <w:tblCellMar>
            <w:top w:w="0" w:type="dxa"/>
            <w:left w:w="108" w:type="dxa"/>
            <w:bottom w:w="0" w:type="dxa"/>
            <w:right w:w="108" w:type="dxa"/>
          </w:tblCellMar>
        </w:tblPrEx>
        <w:trPr>
          <w:trHeight w:val="720" w:hRule="atLeast"/>
        </w:trPr>
        <w:tc>
          <w:tcPr>
            <w:tcW w:w="1300" w:type="dxa"/>
            <w:vMerge w:val="continue"/>
            <w:tcBorders>
              <w:top w:val="nil"/>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2.各单位专业数（专业方向及大学英语、数学、大学计算机、体育、思政课五门公共课按0.5个专业计算）（1分）：按专业数由多到少排名，1-2名1分，第3-5名0.9分，第6-8名0.8分，第9-11名0.7分，第12名及之后0.6分。</w:t>
            </w:r>
          </w:p>
        </w:tc>
      </w:tr>
      <w:tr>
        <w:tblPrEx>
          <w:tblLayout w:type="fixed"/>
          <w:tblCellMar>
            <w:top w:w="0" w:type="dxa"/>
            <w:left w:w="108" w:type="dxa"/>
            <w:bottom w:w="0" w:type="dxa"/>
            <w:right w:w="108" w:type="dxa"/>
          </w:tblCellMar>
        </w:tblPrEx>
        <w:trPr>
          <w:trHeight w:val="375" w:hRule="atLeast"/>
        </w:trPr>
        <w:tc>
          <w:tcPr>
            <w:tcW w:w="1300" w:type="dxa"/>
            <w:vMerge w:val="continue"/>
            <w:tcBorders>
              <w:top w:val="nil"/>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四、教学检查工作（6分）</w:t>
            </w:r>
          </w:p>
        </w:tc>
      </w:tr>
      <w:tr>
        <w:tblPrEx>
          <w:tblLayout w:type="fixed"/>
          <w:tblCellMar>
            <w:top w:w="0" w:type="dxa"/>
            <w:left w:w="108" w:type="dxa"/>
            <w:bottom w:w="0" w:type="dxa"/>
            <w:right w:w="108" w:type="dxa"/>
          </w:tblCellMar>
        </w:tblPrEx>
        <w:trPr>
          <w:trHeight w:val="720" w:hRule="atLeast"/>
        </w:trPr>
        <w:tc>
          <w:tcPr>
            <w:tcW w:w="1300" w:type="dxa"/>
            <w:vMerge w:val="continue"/>
            <w:tcBorders>
              <w:top w:val="nil"/>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 xml:space="preserve">学院组织专家组开展教学检查工作，就课堂教学、实践教学、毕业论文（设计）、教学档案管理、课程考核等工作按百分制进行评分，根据专家评分确定该项分值： </w:t>
            </w:r>
          </w:p>
        </w:tc>
      </w:tr>
      <w:tr>
        <w:tblPrEx>
          <w:tblLayout w:type="fixed"/>
          <w:tblCellMar>
            <w:top w:w="0" w:type="dxa"/>
            <w:left w:w="108" w:type="dxa"/>
            <w:bottom w:w="0" w:type="dxa"/>
            <w:right w:w="108" w:type="dxa"/>
          </w:tblCellMar>
        </w:tblPrEx>
        <w:trPr>
          <w:trHeight w:val="330" w:hRule="atLeast"/>
        </w:trPr>
        <w:tc>
          <w:tcPr>
            <w:tcW w:w="1300" w:type="dxa"/>
            <w:vMerge w:val="continue"/>
            <w:tcBorders>
              <w:top w:val="nil"/>
              <w:left w:val="single" w:color="auto"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single" w:color="auto" w:sz="4" w:space="0"/>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得分＝6×专家评分分值÷100</w:t>
            </w:r>
          </w:p>
        </w:tc>
      </w:tr>
      <w:tr>
        <w:tblPrEx>
          <w:tblLayout w:type="fixed"/>
          <w:tblCellMar>
            <w:top w:w="0" w:type="dxa"/>
            <w:left w:w="108" w:type="dxa"/>
            <w:bottom w:w="0" w:type="dxa"/>
            <w:right w:w="108" w:type="dxa"/>
          </w:tblCellMar>
        </w:tblPrEx>
        <w:trPr>
          <w:trHeight w:val="450" w:hRule="atLeast"/>
        </w:trPr>
        <w:tc>
          <w:tcPr>
            <w:tcW w:w="1300" w:type="dxa"/>
            <w:vMerge w:val="restart"/>
            <w:tcBorders>
              <w:top w:val="nil"/>
              <w:left w:val="single" w:color="auto" w:sz="4" w:space="0"/>
              <w:bottom w:val="single" w:color="000000" w:sz="4" w:space="0"/>
              <w:right w:val="single" w:color="auto" w:sz="4" w:space="0"/>
            </w:tcBorders>
            <w:shd w:val="clear" w:color="000000" w:fill="FFFFFF"/>
          </w:tcPr>
          <w:p>
            <w:pPr>
              <w:widowControl/>
              <w:snapToGrid/>
              <w:spacing w:line="240" w:lineRule="auto"/>
              <w:jc w:val="center"/>
              <w:rPr>
                <w:rFonts w:ascii="宋体" w:hAnsi="宋体" w:cs="宋体"/>
                <w:b/>
                <w:bCs/>
                <w:color w:val="000000"/>
                <w:sz w:val="21"/>
                <w:szCs w:val="21"/>
              </w:rPr>
            </w:pPr>
            <w:r>
              <w:rPr>
                <w:rFonts w:hint="eastAsia" w:ascii="宋体" w:hAnsi="宋体" w:cs="宋体"/>
                <w:b/>
                <w:bCs/>
                <w:color w:val="000000"/>
                <w:sz w:val="21"/>
                <w:szCs w:val="21"/>
              </w:rPr>
              <w:t>教学管理工作（21.5分）</w:t>
            </w: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五、学生评教（0.5分）</w:t>
            </w:r>
          </w:p>
        </w:tc>
      </w:tr>
      <w:tr>
        <w:tblPrEx>
          <w:tblLayout w:type="fixed"/>
          <w:tblCellMar>
            <w:top w:w="0" w:type="dxa"/>
            <w:left w:w="108" w:type="dxa"/>
            <w:bottom w:w="0" w:type="dxa"/>
            <w:right w:w="108" w:type="dxa"/>
          </w:tblCellMar>
        </w:tblPrEx>
        <w:trPr>
          <w:trHeight w:val="450" w:hRule="atLeast"/>
        </w:trPr>
        <w:tc>
          <w:tcPr>
            <w:tcW w:w="1300" w:type="dxa"/>
            <w:vMerge w:val="continue"/>
            <w:tcBorders>
              <w:top w:val="single" w:color="000000" w:sz="4" w:space="0"/>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1.教学单位教师的学生评教分数均值达到90分的得0.5分；</w:t>
            </w:r>
          </w:p>
        </w:tc>
      </w:tr>
      <w:tr>
        <w:tblPrEx>
          <w:tblLayout w:type="fixed"/>
          <w:tblCellMar>
            <w:top w:w="0" w:type="dxa"/>
            <w:left w:w="108" w:type="dxa"/>
            <w:bottom w:w="0" w:type="dxa"/>
            <w:right w:w="108" w:type="dxa"/>
          </w:tblCellMar>
        </w:tblPrEx>
        <w:trPr>
          <w:trHeight w:val="450" w:hRule="atLeast"/>
        </w:trPr>
        <w:tc>
          <w:tcPr>
            <w:tcW w:w="1300" w:type="dxa"/>
            <w:vMerge w:val="continue"/>
            <w:tcBorders>
              <w:top w:val="single" w:color="000000" w:sz="4" w:space="0"/>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2.教学单位教师的学生评教分数均值达到80且小于90分的得0.3分；</w:t>
            </w:r>
          </w:p>
        </w:tc>
      </w:tr>
      <w:tr>
        <w:tblPrEx>
          <w:tblLayout w:type="fixed"/>
          <w:tblCellMar>
            <w:top w:w="0" w:type="dxa"/>
            <w:left w:w="108" w:type="dxa"/>
            <w:bottom w:w="0" w:type="dxa"/>
            <w:right w:w="108" w:type="dxa"/>
          </w:tblCellMar>
        </w:tblPrEx>
        <w:trPr>
          <w:trHeight w:val="735" w:hRule="atLeast"/>
        </w:trPr>
        <w:tc>
          <w:tcPr>
            <w:tcW w:w="1300" w:type="dxa"/>
            <w:vMerge w:val="continue"/>
            <w:tcBorders>
              <w:top w:val="single" w:color="000000" w:sz="4" w:space="0"/>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3.如教学单位有任何一位教师的学生评教分数低于60分的或教学单位教师的学生评教分数均值低于80分的，该项得0分。</w:t>
            </w:r>
          </w:p>
        </w:tc>
      </w:tr>
      <w:tr>
        <w:tblPrEx>
          <w:tblLayout w:type="fixed"/>
          <w:tblCellMar>
            <w:top w:w="0" w:type="dxa"/>
            <w:left w:w="108" w:type="dxa"/>
            <w:bottom w:w="0" w:type="dxa"/>
            <w:right w:w="108" w:type="dxa"/>
          </w:tblCellMar>
        </w:tblPrEx>
        <w:trPr>
          <w:trHeight w:val="450" w:hRule="atLeast"/>
        </w:trPr>
        <w:tc>
          <w:tcPr>
            <w:tcW w:w="1300" w:type="dxa"/>
            <w:vMerge w:val="continue"/>
            <w:tcBorders>
              <w:top w:val="single" w:color="000000" w:sz="4" w:space="0"/>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六、教学单位管理综合评价（2分）</w:t>
            </w:r>
          </w:p>
        </w:tc>
      </w:tr>
      <w:tr>
        <w:tblPrEx>
          <w:tblLayout w:type="fixed"/>
          <w:tblCellMar>
            <w:top w:w="0" w:type="dxa"/>
            <w:left w:w="108" w:type="dxa"/>
            <w:bottom w:w="0" w:type="dxa"/>
            <w:right w:w="108" w:type="dxa"/>
          </w:tblCellMar>
        </w:tblPrEx>
        <w:trPr>
          <w:trHeight w:val="930" w:hRule="atLeast"/>
        </w:trPr>
        <w:tc>
          <w:tcPr>
            <w:tcW w:w="1300" w:type="dxa"/>
            <w:vMerge w:val="continue"/>
            <w:tcBorders>
              <w:top w:val="single" w:color="000000" w:sz="4" w:space="0"/>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single" w:color="auto" w:sz="4" w:space="0"/>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1.教务处全体管理人员根据日常教学及教研管理工作完成的质量及效率情况，结合差错事件记录（已认定教学事故的按教学事故计算发生率，不再重复计算）情况按百分制进行综合评分，根据分数确定分值：分值＝2×综合评分分值÷100</w:t>
            </w:r>
          </w:p>
        </w:tc>
      </w:tr>
      <w:tr>
        <w:tblPrEx>
          <w:tblLayout w:type="fixed"/>
          <w:tblCellMar>
            <w:top w:w="0" w:type="dxa"/>
            <w:left w:w="108" w:type="dxa"/>
            <w:bottom w:w="0" w:type="dxa"/>
            <w:right w:w="108" w:type="dxa"/>
          </w:tblCellMar>
        </w:tblPrEx>
        <w:trPr>
          <w:trHeight w:val="750" w:hRule="atLeast"/>
        </w:trPr>
        <w:tc>
          <w:tcPr>
            <w:tcW w:w="1300" w:type="dxa"/>
            <w:vMerge w:val="restart"/>
            <w:tcBorders>
              <w:top w:val="single" w:color="000000" w:sz="4" w:space="0"/>
              <w:left w:val="single" w:color="auto" w:sz="4" w:space="0"/>
              <w:bottom w:val="single" w:color="000000" w:sz="4" w:space="0"/>
              <w:right w:val="single" w:color="auto" w:sz="4" w:space="0"/>
            </w:tcBorders>
            <w:shd w:val="clear" w:color="000000" w:fill="FFFFFF"/>
            <w:vAlign w:val="center"/>
          </w:tcPr>
          <w:p>
            <w:pPr>
              <w:widowControl/>
              <w:snapToGrid/>
              <w:spacing w:line="240" w:lineRule="auto"/>
              <w:jc w:val="center"/>
              <w:rPr>
                <w:rFonts w:ascii="宋体" w:hAnsi="宋体" w:cs="宋体"/>
                <w:b/>
                <w:bCs/>
                <w:color w:val="000000"/>
                <w:sz w:val="21"/>
                <w:szCs w:val="21"/>
              </w:rPr>
            </w:pPr>
            <w:r>
              <w:rPr>
                <w:rFonts w:hint="eastAsia" w:ascii="宋体" w:hAnsi="宋体" w:cs="宋体"/>
                <w:b/>
                <w:bCs/>
                <w:color w:val="000000"/>
                <w:sz w:val="21"/>
                <w:szCs w:val="21"/>
              </w:rPr>
              <w:t>人才培养创新工作（1分）</w:t>
            </w:r>
          </w:p>
        </w:tc>
        <w:tc>
          <w:tcPr>
            <w:tcW w:w="6792" w:type="dxa"/>
            <w:tcBorders>
              <w:top w:val="single" w:color="auto" w:sz="4" w:space="0"/>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1.经学院批准，在当学年内专业教学开设创新班的，1个加0.5分，同一创新班不同年级的不分别计分，开展多个创新班的一个教学单位最多计1分。</w:t>
            </w:r>
          </w:p>
        </w:tc>
      </w:tr>
      <w:tr>
        <w:tblPrEx>
          <w:tblLayout w:type="fixed"/>
          <w:tblCellMar>
            <w:top w:w="0" w:type="dxa"/>
            <w:left w:w="108" w:type="dxa"/>
            <w:bottom w:w="0" w:type="dxa"/>
            <w:right w:w="108" w:type="dxa"/>
          </w:tblCellMar>
        </w:tblPrEx>
        <w:trPr>
          <w:trHeight w:val="450" w:hRule="atLeast"/>
        </w:trPr>
        <w:tc>
          <w:tcPr>
            <w:tcW w:w="1300" w:type="dxa"/>
            <w:vMerge w:val="continue"/>
            <w:tcBorders>
              <w:top w:val="single" w:color="000000" w:sz="4" w:space="0"/>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single" w:color="auto" w:sz="4" w:space="0"/>
              <w:right w:val="single" w:color="auto" w:sz="4" w:space="0"/>
            </w:tcBorders>
            <w:shd w:val="clear" w:color="000000" w:fill="FFFFFF"/>
            <w:vAlign w:val="center"/>
          </w:tcPr>
          <w:p>
            <w:pPr>
              <w:widowControl/>
              <w:snapToGrid/>
              <w:spacing w:line="240" w:lineRule="auto"/>
              <w:rPr>
                <w:rFonts w:hint="eastAsia" w:ascii="宋体" w:hAnsi="宋体" w:cs="宋体"/>
                <w:color w:val="000000"/>
                <w:sz w:val="21"/>
                <w:szCs w:val="21"/>
              </w:rPr>
            </w:pPr>
            <w:r>
              <w:rPr>
                <w:rFonts w:hint="eastAsia" w:ascii="宋体" w:hAnsi="宋体" w:cs="宋体"/>
                <w:color w:val="000000"/>
                <w:sz w:val="21"/>
                <w:szCs w:val="21"/>
              </w:rPr>
              <w:t>2. 思政部、体育部该项不参评，分数按比例计算到其它项目中。</w:t>
            </w:r>
          </w:p>
          <w:p>
            <w:pPr>
              <w:widowControl/>
              <w:snapToGrid/>
              <w:spacing w:line="240" w:lineRule="auto"/>
              <w:rPr>
                <w:rFonts w:hint="eastAsia" w:ascii="宋体" w:hAnsi="宋体" w:cs="宋体"/>
                <w:color w:val="000000"/>
                <w:sz w:val="21"/>
                <w:szCs w:val="21"/>
              </w:rPr>
            </w:pPr>
          </w:p>
          <w:p>
            <w:pPr>
              <w:widowControl/>
              <w:snapToGrid/>
              <w:spacing w:line="240" w:lineRule="auto"/>
              <w:rPr>
                <w:rFonts w:ascii="宋体" w:hAnsi="宋体" w:cs="宋体"/>
                <w:color w:val="000000"/>
                <w:sz w:val="21"/>
                <w:szCs w:val="21"/>
              </w:rPr>
            </w:pPr>
          </w:p>
        </w:tc>
      </w:tr>
      <w:tr>
        <w:tblPrEx>
          <w:tblLayout w:type="fixed"/>
          <w:tblCellMar>
            <w:top w:w="0" w:type="dxa"/>
            <w:left w:w="108" w:type="dxa"/>
            <w:bottom w:w="0" w:type="dxa"/>
            <w:right w:w="108" w:type="dxa"/>
          </w:tblCellMar>
        </w:tblPrEx>
        <w:trPr>
          <w:trHeight w:val="450" w:hRule="atLeast"/>
        </w:trPr>
        <w:tc>
          <w:tcPr>
            <w:tcW w:w="13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snapToGrid/>
              <w:spacing w:line="240" w:lineRule="auto"/>
              <w:jc w:val="center"/>
              <w:rPr>
                <w:rFonts w:ascii="宋体" w:hAnsi="宋体" w:cs="宋体"/>
                <w:b/>
                <w:bCs/>
                <w:color w:val="000000"/>
                <w:sz w:val="21"/>
                <w:szCs w:val="21"/>
              </w:rPr>
            </w:pPr>
            <w:r>
              <w:rPr>
                <w:rFonts w:hint="eastAsia" w:ascii="宋体" w:hAnsi="宋体" w:cs="宋体"/>
                <w:b/>
                <w:bCs/>
                <w:color w:val="000000"/>
                <w:sz w:val="21"/>
                <w:szCs w:val="21"/>
              </w:rPr>
              <w:t>集中性实践教学管理（1分）</w:t>
            </w: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集中性实践教学管理（1分）</w:t>
            </w:r>
          </w:p>
        </w:tc>
      </w:tr>
      <w:tr>
        <w:tblPrEx>
          <w:tblLayout w:type="fixed"/>
          <w:tblCellMar>
            <w:top w:w="0" w:type="dxa"/>
            <w:left w:w="108" w:type="dxa"/>
            <w:bottom w:w="0" w:type="dxa"/>
            <w:right w:w="108" w:type="dxa"/>
          </w:tblCellMar>
        </w:tblPrEx>
        <w:trPr>
          <w:trHeight w:val="750" w:hRule="atLeast"/>
        </w:trPr>
        <w:tc>
          <w:tcPr>
            <w:tcW w:w="1300" w:type="dxa"/>
            <w:vMerge w:val="continue"/>
            <w:tcBorders>
              <w:top w:val="nil"/>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1.各单位按要求报送校外实习计划汇总表及校内实践教学日历，且填写规范的计0.5分，未及时报送的扣0.2分，填写不规范的课程门次达到10%以上的扣0.2分。</w:t>
            </w:r>
          </w:p>
        </w:tc>
      </w:tr>
      <w:tr>
        <w:tblPrEx>
          <w:tblLayout w:type="fixed"/>
          <w:tblCellMar>
            <w:top w:w="0" w:type="dxa"/>
            <w:left w:w="108" w:type="dxa"/>
            <w:bottom w:w="0" w:type="dxa"/>
            <w:right w:w="108" w:type="dxa"/>
          </w:tblCellMar>
        </w:tblPrEx>
        <w:trPr>
          <w:trHeight w:val="750" w:hRule="atLeast"/>
        </w:trPr>
        <w:tc>
          <w:tcPr>
            <w:tcW w:w="1300" w:type="dxa"/>
            <w:vMerge w:val="continue"/>
            <w:tcBorders>
              <w:top w:val="nil"/>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2.按照实践教学计划及教学日历正常开展教学工作或调整次数在3次以下的（含3次），计0.5分，未按计划和日历要求执行且中途出现变更和调整且超过3门次的，按实际情况计分：</w:t>
            </w:r>
          </w:p>
        </w:tc>
      </w:tr>
      <w:tr>
        <w:tblPrEx>
          <w:tblLayout w:type="fixed"/>
          <w:tblCellMar>
            <w:top w:w="0" w:type="dxa"/>
            <w:left w:w="108" w:type="dxa"/>
            <w:bottom w:w="0" w:type="dxa"/>
            <w:right w:w="108" w:type="dxa"/>
          </w:tblCellMar>
        </w:tblPrEx>
        <w:trPr>
          <w:trHeight w:val="450" w:hRule="atLeast"/>
        </w:trPr>
        <w:tc>
          <w:tcPr>
            <w:tcW w:w="1300" w:type="dxa"/>
            <w:vMerge w:val="continue"/>
            <w:tcBorders>
              <w:top w:val="nil"/>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分值＝0.5*调整实践课程门次数÷教学单位课程总门次数</w:t>
            </w:r>
          </w:p>
        </w:tc>
      </w:tr>
      <w:tr>
        <w:tblPrEx>
          <w:tblLayout w:type="fixed"/>
          <w:tblCellMar>
            <w:top w:w="0" w:type="dxa"/>
            <w:left w:w="108" w:type="dxa"/>
            <w:bottom w:w="0" w:type="dxa"/>
            <w:right w:w="108" w:type="dxa"/>
          </w:tblCellMar>
        </w:tblPrEx>
        <w:trPr>
          <w:trHeight w:val="450" w:hRule="atLeast"/>
        </w:trPr>
        <w:tc>
          <w:tcPr>
            <w:tcW w:w="1300" w:type="dxa"/>
            <w:vMerge w:val="continue"/>
            <w:tcBorders>
              <w:top w:val="nil"/>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single" w:color="auto" w:sz="4" w:space="0"/>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3.思政部、体育部该项不参评，分数按比例计算到其它项目中。</w:t>
            </w:r>
          </w:p>
        </w:tc>
      </w:tr>
      <w:tr>
        <w:tblPrEx>
          <w:tblLayout w:type="fixed"/>
          <w:tblCellMar>
            <w:top w:w="0" w:type="dxa"/>
            <w:left w:w="108" w:type="dxa"/>
            <w:bottom w:w="0" w:type="dxa"/>
            <w:right w:w="108" w:type="dxa"/>
          </w:tblCellMar>
        </w:tblPrEx>
        <w:trPr>
          <w:trHeight w:val="945" w:hRule="atLeast"/>
        </w:trPr>
        <w:tc>
          <w:tcPr>
            <w:tcW w:w="1300" w:type="dxa"/>
            <w:vMerge w:val="restart"/>
            <w:tcBorders>
              <w:top w:val="nil"/>
              <w:left w:val="single" w:color="auto" w:sz="4" w:space="0"/>
              <w:right w:val="single" w:color="auto" w:sz="4" w:space="0"/>
            </w:tcBorders>
            <w:shd w:val="clear" w:color="000000" w:fill="FFFFFF"/>
            <w:vAlign w:val="center"/>
          </w:tcPr>
          <w:p>
            <w:pPr>
              <w:widowControl/>
              <w:snapToGrid/>
              <w:spacing w:line="240" w:lineRule="auto"/>
              <w:jc w:val="center"/>
              <w:rPr>
                <w:rFonts w:ascii="宋体" w:hAnsi="宋体" w:cs="宋体"/>
                <w:b/>
                <w:bCs/>
                <w:color w:val="000000"/>
                <w:sz w:val="21"/>
                <w:szCs w:val="21"/>
              </w:rPr>
            </w:pPr>
            <w:r>
              <w:rPr>
                <w:rFonts w:hint="eastAsia" w:ascii="宋体" w:hAnsi="宋体" w:cs="宋体"/>
                <w:b/>
                <w:bCs/>
                <w:color w:val="000000"/>
                <w:sz w:val="21"/>
                <w:szCs w:val="21"/>
              </w:rPr>
              <w:t>教学工作量（10分）</w:t>
            </w:r>
          </w:p>
          <w:p>
            <w:pPr>
              <w:jc w:val="center"/>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按照《东莞理工学院城市学院教学工作量及课时酬金计算办法（试行）》《东莞理工学院城市学院专任教师学年度工作考核实施办法（试行）》的相关规定，确定专任教师教学工作绩效考核分数，并按教学单位专任教师平均分情况计分。</w:t>
            </w:r>
          </w:p>
        </w:tc>
      </w:tr>
      <w:tr>
        <w:tblPrEx>
          <w:tblLayout w:type="fixed"/>
          <w:tblCellMar>
            <w:top w:w="0" w:type="dxa"/>
            <w:left w:w="108" w:type="dxa"/>
            <w:bottom w:w="0" w:type="dxa"/>
            <w:right w:w="108" w:type="dxa"/>
          </w:tblCellMar>
        </w:tblPrEx>
        <w:trPr>
          <w:trHeight w:val="450" w:hRule="atLeast"/>
        </w:trPr>
        <w:tc>
          <w:tcPr>
            <w:tcW w:w="1300" w:type="dxa"/>
            <w:vMerge w:val="continue"/>
            <w:tcBorders>
              <w:left w:val="single" w:color="auto" w:sz="4" w:space="0"/>
              <w:right w:val="single" w:color="auto" w:sz="4" w:space="0"/>
            </w:tcBorders>
            <w:vAlign w:val="center"/>
          </w:tcPr>
          <w:p>
            <w:pPr>
              <w:jc w:val="center"/>
              <w:rPr>
                <w:rFonts w:ascii="宋体" w:hAnsi="宋体" w:cs="宋体"/>
                <w:b/>
                <w:bCs/>
                <w:color w:val="000000"/>
                <w:sz w:val="21"/>
                <w:szCs w:val="21"/>
              </w:rPr>
            </w:pPr>
          </w:p>
        </w:tc>
        <w:tc>
          <w:tcPr>
            <w:tcW w:w="6792" w:type="dxa"/>
            <w:tcBorders>
              <w:top w:val="nil"/>
              <w:left w:val="nil"/>
              <w:bottom w:val="single" w:color="auto" w:sz="4" w:space="0"/>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1.计算方法：平均分＝教学工作教师绩效考核得分总数÷教学单位专任教师总数（不包含见习期内的新教师），</w:t>
            </w:r>
          </w:p>
        </w:tc>
      </w:tr>
      <w:tr>
        <w:tblPrEx>
          <w:tblLayout w:type="fixed"/>
          <w:tblCellMar>
            <w:top w:w="0" w:type="dxa"/>
            <w:left w:w="108" w:type="dxa"/>
            <w:bottom w:w="0" w:type="dxa"/>
            <w:right w:w="108" w:type="dxa"/>
          </w:tblCellMar>
        </w:tblPrEx>
        <w:trPr>
          <w:trHeight w:val="450" w:hRule="atLeast"/>
        </w:trPr>
        <w:tc>
          <w:tcPr>
            <w:tcW w:w="1300" w:type="dxa"/>
            <w:vMerge w:val="continue"/>
            <w:tcBorders>
              <w:left w:val="single" w:color="auto" w:sz="4" w:space="0"/>
              <w:right w:val="single" w:color="auto" w:sz="4" w:space="0"/>
            </w:tcBorders>
            <w:shd w:val="clear" w:color="000000" w:fill="FFFFFF"/>
            <w:vAlign w:val="center"/>
          </w:tcPr>
          <w:p>
            <w:pPr>
              <w:widowControl/>
              <w:snapToGrid/>
              <w:spacing w:line="240" w:lineRule="auto"/>
              <w:jc w:val="center"/>
              <w:rPr>
                <w:rFonts w:ascii="宋体" w:hAnsi="宋体" w:cs="宋体"/>
                <w:b/>
                <w:bCs/>
                <w:color w:val="000000"/>
                <w:sz w:val="21"/>
                <w:szCs w:val="21"/>
              </w:rPr>
            </w:pPr>
          </w:p>
        </w:tc>
        <w:tc>
          <w:tcPr>
            <w:tcW w:w="6792" w:type="dxa"/>
            <w:tcBorders>
              <w:top w:val="single" w:color="auto" w:sz="4" w:space="0"/>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2.得分说明：</w:t>
            </w:r>
          </w:p>
        </w:tc>
      </w:tr>
      <w:tr>
        <w:tblPrEx>
          <w:tblLayout w:type="fixed"/>
          <w:tblCellMar>
            <w:top w:w="0" w:type="dxa"/>
            <w:left w:w="108" w:type="dxa"/>
            <w:bottom w:w="0" w:type="dxa"/>
            <w:right w:w="108" w:type="dxa"/>
          </w:tblCellMar>
        </w:tblPrEx>
        <w:trPr>
          <w:trHeight w:val="450" w:hRule="atLeast"/>
        </w:trPr>
        <w:tc>
          <w:tcPr>
            <w:tcW w:w="1300" w:type="dxa"/>
            <w:vMerge w:val="continue"/>
            <w:tcBorders>
              <w:left w:val="single" w:color="auto"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（1）平均为50分的，该项得分7分。</w:t>
            </w:r>
          </w:p>
        </w:tc>
      </w:tr>
      <w:tr>
        <w:tblPrEx>
          <w:tblLayout w:type="fixed"/>
          <w:tblCellMar>
            <w:top w:w="0" w:type="dxa"/>
            <w:left w:w="108" w:type="dxa"/>
            <w:bottom w:w="0" w:type="dxa"/>
            <w:right w:w="108" w:type="dxa"/>
          </w:tblCellMar>
        </w:tblPrEx>
        <w:trPr>
          <w:trHeight w:val="450" w:hRule="atLeast"/>
        </w:trPr>
        <w:tc>
          <w:tcPr>
            <w:tcW w:w="1300" w:type="dxa"/>
            <w:vMerge w:val="continue"/>
            <w:tcBorders>
              <w:left w:val="single" w:color="auto"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（2）平均分达到60分的，该项得分10分。</w:t>
            </w:r>
          </w:p>
        </w:tc>
      </w:tr>
      <w:tr>
        <w:tblPrEx>
          <w:tblLayout w:type="fixed"/>
          <w:tblCellMar>
            <w:top w:w="0" w:type="dxa"/>
            <w:left w:w="108" w:type="dxa"/>
            <w:bottom w:w="0" w:type="dxa"/>
            <w:right w:w="108" w:type="dxa"/>
          </w:tblCellMar>
        </w:tblPrEx>
        <w:trPr>
          <w:trHeight w:val="450" w:hRule="atLeast"/>
        </w:trPr>
        <w:tc>
          <w:tcPr>
            <w:tcW w:w="1300" w:type="dxa"/>
            <w:vMerge w:val="continue"/>
            <w:tcBorders>
              <w:left w:val="single" w:color="auto"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（3）平均分大于50分小于60分的：分数＝7+（平均分-50）×（3÷10）</w:t>
            </w:r>
          </w:p>
        </w:tc>
      </w:tr>
      <w:tr>
        <w:tblPrEx>
          <w:tblLayout w:type="fixed"/>
          <w:tblCellMar>
            <w:top w:w="0" w:type="dxa"/>
            <w:left w:w="108" w:type="dxa"/>
            <w:bottom w:w="0" w:type="dxa"/>
            <w:right w:w="108" w:type="dxa"/>
          </w:tblCellMar>
        </w:tblPrEx>
        <w:trPr>
          <w:trHeight w:val="450" w:hRule="atLeast"/>
        </w:trPr>
        <w:tc>
          <w:tcPr>
            <w:tcW w:w="1300" w:type="dxa"/>
            <w:vMerge w:val="continue"/>
            <w:tcBorders>
              <w:left w:val="single" w:color="auto"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nil"/>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（4）平均分小于50分的，分数＝7-（50-平均分）×（7÷50）</w:t>
            </w:r>
          </w:p>
        </w:tc>
      </w:tr>
      <w:tr>
        <w:tblPrEx>
          <w:tblLayout w:type="fixed"/>
          <w:tblCellMar>
            <w:top w:w="0" w:type="dxa"/>
            <w:left w:w="108" w:type="dxa"/>
            <w:bottom w:w="0" w:type="dxa"/>
            <w:right w:w="108" w:type="dxa"/>
          </w:tblCellMar>
        </w:tblPrEx>
        <w:trPr>
          <w:trHeight w:val="750" w:hRule="atLeast"/>
        </w:trPr>
        <w:tc>
          <w:tcPr>
            <w:tcW w:w="1300" w:type="dxa"/>
            <w:vMerge w:val="continue"/>
            <w:tcBorders>
              <w:left w:val="single" w:color="auto" w:sz="4" w:space="0"/>
              <w:bottom w:val="single" w:color="000000" w:sz="4" w:space="0"/>
              <w:right w:val="single" w:color="auto" w:sz="4" w:space="0"/>
            </w:tcBorders>
            <w:vAlign w:val="center"/>
          </w:tcPr>
          <w:p>
            <w:pPr>
              <w:widowControl/>
              <w:snapToGrid/>
              <w:spacing w:line="240" w:lineRule="auto"/>
              <w:rPr>
                <w:rFonts w:ascii="宋体" w:hAnsi="宋体" w:cs="宋体"/>
                <w:b/>
                <w:bCs/>
                <w:color w:val="000000"/>
                <w:sz w:val="21"/>
                <w:szCs w:val="21"/>
              </w:rPr>
            </w:pPr>
          </w:p>
        </w:tc>
        <w:tc>
          <w:tcPr>
            <w:tcW w:w="6792" w:type="dxa"/>
            <w:tcBorders>
              <w:top w:val="nil"/>
              <w:left w:val="nil"/>
              <w:bottom w:val="single" w:color="auto" w:sz="4" w:space="0"/>
              <w:right w:val="single" w:color="auto" w:sz="4" w:space="0"/>
            </w:tcBorders>
            <w:shd w:val="clear" w:color="000000" w:fill="FFFFFF"/>
            <w:vAlign w:val="center"/>
          </w:tcPr>
          <w:p>
            <w:pPr>
              <w:widowControl/>
              <w:snapToGrid/>
              <w:spacing w:line="240" w:lineRule="auto"/>
              <w:rPr>
                <w:rFonts w:ascii="宋体" w:hAnsi="宋体" w:cs="宋体"/>
                <w:color w:val="000000"/>
                <w:sz w:val="21"/>
                <w:szCs w:val="21"/>
              </w:rPr>
            </w:pPr>
            <w:r>
              <w:rPr>
                <w:rFonts w:hint="eastAsia" w:ascii="宋体" w:hAnsi="宋体" w:cs="宋体"/>
                <w:color w:val="000000"/>
                <w:sz w:val="21"/>
                <w:szCs w:val="21"/>
              </w:rPr>
              <w:t>3. 教学单位当学年内有超过5%的教师未完成额定标准学时的，扣0.25分；未完成额定标准学时的教师中有1位完成标准学时数不足额定标准50%的，加扣0.5分，有1位以上的，加扣1分。</w:t>
            </w:r>
          </w:p>
        </w:tc>
      </w:tr>
    </w:tbl>
    <w:p>
      <w:pPr>
        <w:ind w:firstLine="405"/>
        <w:rPr>
          <w:rFonts w:hint="eastAsia"/>
          <w:b/>
          <w:bCs/>
          <w:sz w:val="24"/>
          <w:szCs w:val="24"/>
        </w:rPr>
      </w:pPr>
    </w:p>
    <w:p>
      <w:pPr>
        <w:ind w:firstLine="405"/>
        <w:rPr>
          <w:rFonts w:hint="eastAsia"/>
          <w:b/>
          <w:bCs/>
          <w:sz w:val="24"/>
          <w:szCs w:val="24"/>
        </w:rPr>
      </w:pPr>
      <w:r>
        <w:rPr>
          <w:rFonts w:hint="eastAsia"/>
          <w:b/>
          <w:bCs/>
          <w:sz w:val="24"/>
          <w:szCs w:val="24"/>
        </w:rPr>
        <w:t>（二）主要文件</w:t>
      </w:r>
    </w:p>
    <w:p>
      <w:pPr>
        <w:ind w:firstLine="405"/>
        <w:rPr>
          <w:b/>
          <w:bCs/>
          <w:sz w:val="24"/>
          <w:szCs w:val="24"/>
        </w:rPr>
      </w:pPr>
      <w:r>
        <w:rPr>
          <w:rFonts w:hint="eastAsia"/>
          <w:b/>
          <w:bCs/>
          <w:sz w:val="24"/>
          <w:szCs w:val="24"/>
        </w:rPr>
        <w:t>1.《东莞理工学院城市学院教学工作量及课时酬金计算办法（试行）》</w:t>
      </w:r>
    </w:p>
    <w:p>
      <w:pPr>
        <w:pStyle w:val="18"/>
        <w:widowControl/>
        <w:numPr>
          <w:ilvl w:val="0"/>
          <w:numId w:val="3"/>
        </w:numPr>
        <w:snapToGrid/>
        <w:spacing w:line="540" w:lineRule="exact"/>
        <w:ind w:firstLineChars="0"/>
        <w:contextualSpacing/>
        <w:jc w:val="center"/>
        <w:rPr>
          <w:rFonts w:ascii="黑体" w:hAnsi="黑体" w:eastAsia="黑体"/>
          <w:sz w:val="21"/>
          <w:szCs w:val="21"/>
          <w:u w:color="1C654D"/>
        </w:rPr>
      </w:pPr>
      <w:r>
        <w:rPr>
          <w:rFonts w:hint="eastAsia" w:ascii="黑体" w:hAnsi="黑体" w:eastAsia="黑体"/>
          <w:sz w:val="21"/>
          <w:szCs w:val="21"/>
          <w:u w:color="1C654D"/>
        </w:rPr>
        <w:t xml:space="preserve"> 总  则</w:t>
      </w:r>
    </w:p>
    <w:p>
      <w:pPr>
        <w:spacing w:line="540" w:lineRule="exact"/>
        <w:ind w:firstLine="422" w:firstLineChars="200"/>
        <w:rPr>
          <w:rFonts w:ascii="仿宋_GB2312" w:eastAsia="仿宋_GB2312"/>
          <w:sz w:val="21"/>
          <w:szCs w:val="21"/>
          <w:u w:color="1C654D"/>
        </w:rPr>
      </w:pPr>
      <w:r>
        <w:rPr>
          <w:rFonts w:hint="eastAsia" w:ascii="仿宋_GB2312" w:eastAsia="仿宋_GB2312"/>
          <w:b/>
          <w:sz w:val="21"/>
          <w:szCs w:val="21"/>
          <w:u w:color="1C654D"/>
        </w:rPr>
        <w:t>第一条</w:t>
      </w:r>
      <w:r>
        <w:rPr>
          <w:rFonts w:hint="eastAsia" w:ascii="仿宋_GB2312" w:eastAsia="仿宋_GB2312"/>
          <w:sz w:val="21"/>
          <w:szCs w:val="21"/>
          <w:u w:color="1C654D"/>
        </w:rPr>
        <w:t xml:space="preserve">  为了配合学院岗位分配制度改革方案的实施，本着遵循高等教育一般规律和引入竞争机制，体现按劳分配、多劳多得的原则，更加合理地规范我院教师教学工作量及课时酬金计算办法，借鉴兄弟院校的有关经验，结合我院以往有关文件的实施情况，特制定本办法。</w:t>
      </w:r>
    </w:p>
    <w:p>
      <w:pPr>
        <w:spacing w:line="540" w:lineRule="exact"/>
        <w:ind w:firstLine="422" w:firstLineChars="200"/>
        <w:rPr>
          <w:rFonts w:ascii="仿宋_GB2312" w:eastAsia="仿宋_GB2312"/>
          <w:sz w:val="21"/>
          <w:szCs w:val="21"/>
          <w:u w:color="1C654D"/>
        </w:rPr>
      </w:pPr>
      <w:r>
        <w:rPr>
          <w:rFonts w:hint="eastAsia" w:ascii="仿宋_GB2312" w:eastAsia="仿宋_GB2312"/>
          <w:b/>
          <w:sz w:val="21"/>
          <w:szCs w:val="21"/>
          <w:u w:color="1C654D"/>
        </w:rPr>
        <w:t>第二条</w:t>
      </w:r>
      <w:r>
        <w:rPr>
          <w:rFonts w:hint="eastAsia" w:ascii="仿宋_GB2312" w:eastAsia="仿宋_GB2312"/>
          <w:sz w:val="21"/>
          <w:szCs w:val="21"/>
          <w:u w:color="1C654D"/>
        </w:rPr>
        <w:t xml:space="preserve">  教学工作量定义。教学工作量是指已列入人才培养计划的教学内容的工作量，主要包括课堂教学、实验教学、实习教学、社会实践教学、课程设计指导、毕业设计（论文）指导等。</w:t>
      </w:r>
    </w:p>
    <w:p>
      <w:pPr>
        <w:spacing w:line="540" w:lineRule="exact"/>
        <w:ind w:firstLine="422" w:firstLineChars="200"/>
        <w:rPr>
          <w:rFonts w:ascii="仿宋_GB2312" w:eastAsia="仿宋_GB2312"/>
          <w:sz w:val="21"/>
          <w:szCs w:val="21"/>
          <w:u w:color="1C654D"/>
        </w:rPr>
      </w:pPr>
      <w:r>
        <w:rPr>
          <w:rFonts w:hint="eastAsia" w:ascii="仿宋_GB2312" w:eastAsia="仿宋_GB2312"/>
          <w:b/>
          <w:sz w:val="21"/>
          <w:szCs w:val="21"/>
          <w:u w:color="1C654D"/>
        </w:rPr>
        <w:t>第三条</w:t>
      </w:r>
      <w:r>
        <w:rPr>
          <w:rFonts w:hint="eastAsia" w:ascii="仿宋_GB2312" w:eastAsia="仿宋_GB2312"/>
          <w:sz w:val="21"/>
          <w:szCs w:val="21"/>
          <w:u w:color="1C654D"/>
        </w:rPr>
        <w:t xml:space="preserve">  课堂教学的标准学时数计算。课堂教学的主要工作包括：备课、讲授、辅导答疑、批改作业、考试命题、阅卷、教学质量分析、教学文件提供及教学档案管理等。</w:t>
      </w:r>
    </w:p>
    <w:p>
      <w:pPr>
        <w:spacing w:line="540" w:lineRule="exact"/>
        <w:jc w:val="center"/>
        <w:rPr>
          <w:rFonts w:ascii="黑体" w:hAnsi="黑体" w:eastAsia="黑体"/>
          <w:sz w:val="21"/>
          <w:szCs w:val="21"/>
          <w:u w:color="1C654D"/>
        </w:rPr>
      </w:pPr>
      <w:r>
        <w:rPr>
          <w:rFonts w:hint="eastAsia" w:ascii="黑体" w:hAnsi="黑体" w:eastAsia="黑体"/>
          <w:sz w:val="21"/>
          <w:szCs w:val="21"/>
          <w:u w:color="1C654D"/>
        </w:rPr>
        <w:t>第二章  标准学时的计算</w:t>
      </w:r>
    </w:p>
    <w:p>
      <w:pPr>
        <w:spacing w:line="540" w:lineRule="exact"/>
        <w:ind w:firstLine="422" w:firstLineChars="200"/>
        <w:rPr>
          <w:rFonts w:ascii="仿宋_GB2312" w:eastAsia="仿宋_GB2312"/>
          <w:sz w:val="21"/>
          <w:szCs w:val="21"/>
          <w:u w:color="1C654D"/>
        </w:rPr>
      </w:pPr>
      <w:r>
        <w:rPr>
          <w:rFonts w:hint="eastAsia" w:ascii="仿宋_GB2312" w:eastAsia="仿宋_GB2312"/>
          <w:b/>
          <w:sz w:val="21"/>
          <w:szCs w:val="21"/>
          <w:u w:color="1C654D"/>
        </w:rPr>
        <w:t>第四条</w:t>
      </w:r>
      <w:r>
        <w:rPr>
          <w:rFonts w:hint="eastAsia" w:ascii="仿宋_GB2312" w:eastAsia="仿宋_GB2312"/>
          <w:sz w:val="21"/>
          <w:szCs w:val="21"/>
          <w:u w:color="1C654D"/>
        </w:rPr>
        <w:t xml:space="preserve">  理论教学</w:t>
      </w:r>
    </w:p>
    <w:p>
      <w:pPr>
        <w:spacing w:line="540" w:lineRule="exact"/>
        <w:ind w:firstLine="420" w:firstLineChars="200"/>
        <w:rPr>
          <w:rFonts w:ascii="仿宋_GB2312" w:eastAsia="仿宋_GB2312"/>
          <w:sz w:val="21"/>
          <w:szCs w:val="21"/>
          <w:u w:color="1C654D"/>
        </w:rPr>
      </w:pPr>
      <w:r>
        <w:rPr>
          <w:rFonts w:hint="eastAsia" w:ascii="仿宋_GB2312" w:eastAsia="仿宋_GB2312"/>
          <w:sz w:val="21"/>
          <w:szCs w:val="21"/>
          <w:u w:color="1C654D"/>
        </w:rPr>
        <w:t>标准学时数=学时数×（ R + T )</w:t>
      </w:r>
    </w:p>
    <w:tbl>
      <w:tblPr>
        <w:tblStyle w:val="9"/>
        <w:tblW w:w="9774" w:type="dxa"/>
        <w:jc w:val="center"/>
        <w:tblInd w:w="0" w:type="dxa"/>
        <w:tblLayout w:type="fixed"/>
        <w:tblCellMar>
          <w:top w:w="0" w:type="dxa"/>
          <w:left w:w="108" w:type="dxa"/>
          <w:bottom w:w="0" w:type="dxa"/>
          <w:right w:w="108" w:type="dxa"/>
        </w:tblCellMar>
      </w:tblPr>
      <w:tblGrid>
        <w:gridCol w:w="1541"/>
        <w:gridCol w:w="8233"/>
      </w:tblGrid>
      <w:tr>
        <w:tblPrEx>
          <w:tblLayout w:type="fixed"/>
          <w:tblCellMar>
            <w:top w:w="0" w:type="dxa"/>
            <w:left w:w="108" w:type="dxa"/>
            <w:bottom w:w="0" w:type="dxa"/>
            <w:right w:w="108" w:type="dxa"/>
          </w:tblCellMar>
        </w:tblPrEx>
        <w:trPr>
          <w:trHeight w:val="341" w:hRule="atLeast"/>
          <w:jc w:val="center"/>
        </w:trPr>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b/>
                <w:sz w:val="21"/>
                <w:szCs w:val="21"/>
                <w:u w:color="1C654D"/>
              </w:rPr>
            </w:pPr>
            <w:r>
              <w:rPr>
                <w:rFonts w:hint="eastAsia"/>
                <w:b/>
                <w:sz w:val="21"/>
                <w:szCs w:val="21"/>
                <w:u w:color="1C654D"/>
              </w:rPr>
              <w:t>系数说明</w:t>
            </w:r>
          </w:p>
        </w:tc>
        <w:tc>
          <w:tcPr>
            <w:tcW w:w="8233" w:type="dxa"/>
            <w:tcBorders>
              <w:top w:val="single" w:color="auto" w:sz="4" w:space="0"/>
              <w:left w:val="nil"/>
              <w:bottom w:val="single" w:color="auto" w:sz="4" w:space="0"/>
              <w:right w:val="single" w:color="000000" w:sz="4" w:space="0"/>
            </w:tcBorders>
            <w:shd w:val="clear" w:color="auto" w:fill="auto"/>
            <w:vAlign w:val="center"/>
          </w:tcPr>
          <w:p>
            <w:pPr>
              <w:spacing w:line="300" w:lineRule="exact"/>
              <w:jc w:val="center"/>
              <w:rPr>
                <w:b/>
                <w:sz w:val="21"/>
                <w:szCs w:val="21"/>
                <w:u w:color="1C654D"/>
              </w:rPr>
            </w:pPr>
            <w:r>
              <w:rPr>
                <w:rFonts w:hint="eastAsia"/>
                <w:b/>
                <w:sz w:val="21"/>
                <w:szCs w:val="21"/>
                <w:u w:color="1C654D"/>
              </w:rPr>
              <w:t>系数标准</w:t>
            </w:r>
          </w:p>
        </w:tc>
      </w:tr>
      <w:tr>
        <w:tblPrEx>
          <w:tblLayout w:type="fixed"/>
          <w:tblCellMar>
            <w:top w:w="0" w:type="dxa"/>
            <w:left w:w="108" w:type="dxa"/>
            <w:bottom w:w="0" w:type="dxa"/>
            <w:right w:w="108" w:type="dxa"/>
          </w:tblCellMar>
        </w:tblPrEx>
        <w:trPr>
          <w:trHeight w:val="341" w:hRule="atLeast"/>
          <w:jc w:val="center"/>
        </w:trPr>
        <w:tc>
          <w:tcPr>
            <w:tcW w:w="15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sz w:val="21"/>
                <w:szCs w:val="21"/>
                <w:u w:color="1C654D"/>
              </w:rPr>
            </w:pPr>
            <w:r>
              <w:rPr>
                <w:rFonts w:hint="eastAsia"/>
                <w:sz w:val="21"/>
                <w:szCs w:val="21"/>
                <w:u w:color="1C654D"/>
              </w:rPr>
              <w:t>R:人数</w:t>
            </w:r>
            <w:r>
              <w:rPr>
                <w:sz w:val="21"/>
                <w:szCs w:val="21"/>
                <w:u w:color="1C654D"/>
              </w:rPr>
              <w:br w:type="textWrapping"/>
            </w:r>
            <w:r>
              <w:rPr>
                <w:rFonts w:hint="eastAsia"/>
                <w:sz w:val="21"/>
                <w:szCs w:val="21"/>
                <w:u w:color="1C654D"/>
              </w:rPr>
              <w:t>系数</w:t>
            </w:r>
          </w:p>
        </w:tc>
        <w:tc>
          <w:tcPr>
            <w:tcW w:w="8233" w:type="dxa"/>
            <w:tcBorders>
              <w:top w:val="single" w:color="auto" w:sz="4" w:space="0"/>
              <w:left w:val="nil"/>
              <w:bottom w:val="single" w:color="auto" w:sz="4" w:space="0"/>
              <w:right w:val="single" w:color="000000" w:sz="4" w:space="0"/>
            </w:tcBorders>
            <w:shd w:val="clear" w:color="auto" w:fill="auto"/>
            <w:vAlign w:val="center"/>
          </w:tcPr>
          <w:p>
            <w:pPr>
              <w:spacing w:line="320" w:lineRule="exact"/>
              <w:rPr>
                <w:sz w:val="21"/>
                <w:szCs w:val="21"/>
                <w:u w:color="1C654D"/>
              </w:rPr>
            </w:pPr>
            <w:r>
              <w:rPr>
                <w:rFonts w:hint="eastAsia"/>
                <w:sz w:val="21"/>
                <w:szCs w:val="21"/>
                <w:u w:color="1C654D"/>
              </w:rPr>
              <w:t>R=1(40≤人数≤50）</w:t>
            </w:r>
          </w:p>
        </w:tc>
      </w:tr>
      <w:tr>
        <w:tblPrEx>
          <w:tblLayout w:type="fixed"/>
          <w:tblCellMar>
            <w:top w:w="0" w:type="dxa"/>
            <w:left w:w="108" w:type="dxa"/>
            <w:bottom w:w="0" w:type="dxa"/>
            <w:right w:w="108" w:type="dxa"/>
          </w:tblCellMar>
        </w:tblPrEx>
        <w:trPr>
          <w:trHeight w:val="341" w:hRule="atLeast"/>
          <w:jc w:val="center"/>
        </w:trPr>
        <w:tc>
          <w:tcPr>
            <w:tcW w:w="1541" w:type="dxa"/>
            <w:vMerge w:val="continue"/>
            <w:tcBorders>
              <w:top w:val="nil"/>
              <w:left w:val="single" w:color="auto" w:sz="4" w:space="0"/>
              <w:bottom w:val="single" w:color="auto" w:sz="4" w:space="0"/>
              <w:right w:val="single" w:color="auto" w:sz="4" w:space="0"/>
            </w:tcBorders>
            <w:vAlign w:val="center"/>
          </w:tcPr>
          <w:p>
            <w:pPr>
              <w:spacing w:line="300" w:lineRule="exact"/>
              <w:rPr>
                <w:sz w:val="21"/>
                <w:szCs w:val="21"/>
                <w:u w:color="1C654D"/>
              </w:rPr>
            </w:pPr>
          </w:p>
        </w:tc>
        <w:tc>
          <w:tcPr>
            <w:tcW w:w="8233" w:type="dxa"/>
            <w:tcBorders>
              <w:top w:val="single" w:color="auto" w:sz="4" w:space="0"/>
              <w:left w:val="nil"/>
              <w:bottom w:val="single" w:color="auto" w:sz="4" w:space="0"/>
              <w:right w:val="single" w:color="000000" w:sz="4" w:space="0"/>
            </w:tcBorders>
            <w:shd w:val="clear" w:color="auto" w:fill="auto"/>
            <w:vAlign w:val="center"/>
          </w:tcPr>
          <w:p>
            <w:pPr>
              <w:spacing w:line="320" w:lineRule="exact"/>
              <w:rPr>
                <w:sz w:val="21"/>
                <w:szCs w:val="21"/>
                <w:u w:color="1C654D"/>
              </w:rPr>
            </w:pPr>
            <w:r>
              <w:rPr>
                <w:rFonts w:hint="eastAsia"/>
                <w:sz w:val="21"/>
                <w:szCs w:val="21"/>
                <w:u w:color="1C654D"/>
              </w:rPr>
              <w:t>R=1+（人数-50）×0.01(51≤人数≤100）</w:t>
            </w:r>
          </w:p>
        </w:tc>
      </w:tr>
      <w:tr>
        <w:tblPrEx>
          <w:tblLayout w:type="fixed"/>
          <w:tblCellMar>
            <w:top w:w="0" w:type="dxa"/>
            <w:left w:w="108" w:type="dxa"/>
            <w:bottom w:w="0" w:type="dxa"/>
            <w:right w:w="108" w:type="dxa"/>
          </w:tblCellMar>
        </w:tblPrEx>
        <w:trPr>
          <w:trHeight w:val="341" w:hRule="atLeast"/>
          <w:jc w:val="center"/>
        </w:trPr>
        <w:tc>
          <w:tcPr>
            <w:tcW w:w="1541" w:type="dxa"/>
            <w:vMerge w:val="continue"/>
            <w:tcBorders>
              <w:top w:val="nil"/>
              <w:left w:val="single" w:color="auto" w:sz="4" w:space="0"/>
              <w:bottom w:val="single" w:color="auto" w:sz="4" w:space="0"/>
              <w:right w:val="single" w:color="auto" w:sz="4" w:space="0"/>
            </w:tcBorders>
            <w:vAlign w:val="center"/>
          </w:tcPr>
          <w:p>
            <w:pPr>
              <w:spacing w:line="300" w:lineRule="exact"/>
              <w:rPr>
                <w:sz w:val="21"/>
                <w:szCs w:val="21"/>
                <w:u w:color="1C654D"/>
              </w:rPr>
            </w:pPr>
          </w:p>
        </w:tc>
        <w:tc>
          <w:tcPr>
            <w:tcW w:w="8233" w:type="dxa"/>
            <w:tcBorders>
              <w:top w:val="single" w:color="auto" w:sz="4" w:space="0"/>
              <w:left w:val="nil"/>
              <w:bottom w:val="single" w:color="auto" w:sz="4" w:space="0"/>
              <w:right w:val="single" w:color="000000" w:sz="4" w:space="0"/>
            </w:tcBorders>
            <w:shd w:val="clear" w:color="auto" w:fill="auto"/>
            <w:vAlign w:val="center"/>
          </w:tcPr>
          <w:p>
            <w:pPr>
              <w:spacing w:line="320" w:lineRule="exact"/>
              <w:rPr>
                <w:sz w:val="21"/>
                <w:szCs w:val="21"/>
                <w:u w:color="1C654D"/>
              </w:rPr>
            </w:pPr>
            <w:r>
              <w:rPr>
                <w:rFonts w:hint="eastAsia"/>
                <w:sz w:val="21"/>
                <w:szCs w:val="21"/>
                <w:u w:color="1C654D"/>
              </w:rPr>
              <w:t>R=1.5+（人数-100）×0.005(101≤人数≤200）</w:t>
            </w:r>
          </w:p>
        </w:tc>
      </w:tr>
      <w:tr>
        <w:tblPrEx>
          <w:tblLayout w:type="fixed"/>
          <w:tblCellMar>
            <w:top w:w="0" w:type="dxa"/>
            <w:left w:w="108" w:type="dxa"/>
            <w:bottom w:w="0" w:type="dxa"/>
            <w:right w:w="108" w:type="dxa"/>
          </w:tblCellMar>
        </w:tblPrEx>
        <w:trPr>
          <w:trHeight w:val="341" w:hRule="atLeast"/>
          <w:jc w:val="center"/>
        </w:trPr>
        <w:tc>
          <w:tcPr>
            <w:tcW w:w="1541" w:type="dxa"/>
            <w:vMerge w:val="continue"/>
            <w:tcBorders>
              <w:top w:val="nil"/>
              <w:left w:val="single" w:color="auto" w:sz="4" w:space="0"/>
              <w:bottom w:val="single" w:color="auto" w:sz="4" w:space="0"/>
              <w:right w:val="single" w:color="auto" w:sz="4" w:space="0"/>
            </w:tcBorders>
            <w:vAlign w:val="center"/>
          </w:tcPr>
          <w:p>
            <w:pPr>
              <w:spacing w:line="300" w:lineRule="exact"/>
              <w:rPr>
                <w:sz w:val="21"/>
                <w:szCs w:val="21"/>
                <w:u w:color="1C654D"/>
              </w:rPr>
            </w:pPr>
          </w:p>
        </w:tc>
        <w:tc>
          <w:tcPr>
            <w:tcW w:w="8233" w:type="dxa"/>
            <w:tcBorders>
              <w:top w:val="single" w:color="auto" w:sz="4" w:space="0"/>
              <w:left w:val="nil"/>
              <w:bottom w:val="single" w:color="auto" w:sz="4" w:space="0"/>
              <w:right w:val="single" w:color="000000" w:sz="4" w:space="0"/>
            </w:tcBorders>
            <w:shd w:val="clear" w:color="auto" w:fill="auto"/>
            <w:vAlign w:val="center"/>
          </w:tcPr>
          <w:p>
            <w:pPr>
              <w:spacing w:line="320" w:lineRule="exact"/>
              <w:rPr>
                <w:sz w:val="21"/>
                <w:szCs w:val="21"/>
                <w:u w:color="1C654D"/>
              </w:rPr>
            </w:pPr>
            <w:r>
              <w:rPr>
                <w:rFonts w:hint="eastAsia"/>
                <w:sz w:val="21"/>
                <w:szCs w:val="21"/>
                <w:u w:color="1C654D"/>
              </w:rPr>
              <w:t>R=2（201≤人数≤299）</w:t>
            </w:r>
          </w:p>
        </w:tc>
      </w:tr>
      <w:tr>
        <w:tblPrEx>
          <w:tblLayout w:type="fixed"/>
          <w:tblCellMar>
            <w:top w:w="0" w:type="dxa"/>
            <w:left w:w="108" w:type="dxa"/>
            <w:bottom w:w="0" w:type="dxa"/>
            <w:right w:w="108" w:type="dxa"/>
          </w:tblCellMar>
        </w:tblPrEx>
        <w:trPr>
          <w:trHeight w:val="341" w:hRule="atLeast"/>
          <w:jc w:val="center"/>
        </w:trPr>
        <w:tc>
          <w:tcPr>
            <w:tcW w:w="1541" w:type="dxa"/>
            <w:vMerge w:val="continue"/>
            <w:tcBorders>
              <w:top w:val="nil"/>
              <w:left w:val="single" w:color="auto" w:sz="4" w:space="0"/>
              <w:bottom w:val="single" w:color="auto" w:sz="4" w:space="0"/>
              <w:right w:val="single" w:color="auto" w:sz="4" w:space="0"/>
            </w:tcBorders>
            <w:vAlign w:val="center"/>
          </w:tcPr>
          <w:p>
            <w:pPr>
              <w:spacing w:line="300" w:lineRule="exact"/>
              <w:rPr>
                <w:sz w:val="21"/>
                <w:szCs w:val="21"/>
                <w:u w:color="1C654D"/>
              </w:rPr>
            </w:pPr>
          </w:p>
        </w:tc>
        <w:tc>
          <w:tcPr>
            <w:tcW w:w="8233" w:type="dxa"/>
            <w:tcBorders>
              <w:top w:val="single" w:color="auto" w:sz="4" w:space="0"/>
              <w:left w:val="nil"/>
              <w:bottom w:val="single" w:color="auto" w:sz="4" w:space="0"/>
              <w:right w:val="single" w:color="000000" w:sz="4" w:space="0"/>
            </w:tcBorders>
            <w:shd w:val="clear" w:color="auto" w:fill="auto"/>
            <w:vAlign w:val="center"/>
          </w:tcPr>
          <w:p>
            <w:pPr>
              <w:spacing w:line="320" w:lineRule="exact"/>
              <w:rPr>
                <w:sz w:val="21"/>
                <w:szCs w:val="21"/>
                <w:u w:color="1C654D"/>
              </w:rPr>
            </w:pPr>
            <w:r>
              <w:rPr>
                <w:rFonts w:hint="eastAsia"/>
                <w:sz w:val="21"/>
                <w:szCs w:val="21"/>
                <w:u w:color="1C654D"/>
              </w:rPr>
              <w:t>R=2.2(人数≥300）</w:t>
            </w:r>
          </w:p>
        </w:tc>
      </w:tr>
      <w:tr>
        <w:tblPrEx>
          <w:tblLayout w:type="fixed"/>
          <w:tblCellMar>
            <w:top w:w="0" w:type="dxa"/>
            <w:left w:w="108" w:type="dxa"/>
            <w:bottom w:w="0" w:type="dxa"/>
            <w:right w:w="108" w:type="dxa"/>
          </w:tblCellMar>
        </w:tblPrEx>
        <w:trPr>
          <w:trHeight w:val="341" w:hRule="atLeast"/>
          <w:jc w:val="center"/>
        </w:trPr>
        <w:tc>
          <w:tcPr>
            <w:tcW w:w="1541" w:type="dxa"/>
            <w:vMerge w:val="continue"/>
            <w:tcBorders>
              <w:top w:val="nil"/>
              <w:left w:val="single" w:color="auto" w:sz="4" w:space="0"/>
              <w:bottom w:val="single" w:color="auto" w:sz="4" w:space="0"/>
              <w:right w:val="single" w:color="auto" w:sz="4" w:space="0"/>
            </w:tcBorders>
            <w:vAlign w:val="center"/>
          </w:tcPr>
          <w:p>
            <w:pPr>
              <w:spacing w:line="300" w:lineRule="exact"/>
              <w:rPr>
                <w:sz w:val="21"/>
                <w:szCs w:val="21"/>
                <w:u w:color="1C654D"/>
              </w:rPr>
            </w:pPr>
          </w:p>
        </w:tc>
        <w:tc>
          <w:tcPr>
            <w:tcW w:w="8233" w:type="dxa"/>
            <w:tcBorders>
              <w:top w:val="single" w:color="auto" w:sz="4" w:space="0"/>
              <w:left w:val="nil"/>
              <w:bottom w:val="single" w:color="auto" w:sz="4" w:space="0"/>
              <w:right w:val="single" w:color="000000" w:sz="4" w:space="0"/>
            </w:tcBorders>
            <w:shd w:val="clear" w:color="auto" w:fill="auto"/>
            <w:vAlign w:val="center"/>
          </w:tcPr>
          <w:p>
            <w:pPr>
              <w:spacing w:line="320" w:lineRule="exact"/>
              <w:rPr>
                <w:sz w:val="21"/>
                <w:szCs w:val="21"/>
                <w:u w:color="1C654D"/>
              </w:rPr>
            </w:pPr>
            <w:r>
              <w:rPr>
                <w:rFonts w:hint="eastAsia"/>
                <w:sz w:val="21"/>
                <w:szCs w:val="21"/>
                <w:u w:color="1C654D"/>
              </w:rPr>
              <w:t>R=1-（40-人数）×0.01（20≤人数＜40）</w:t>
            </w:r>
          </w:p>
        </w:tc>
      </w:tr>
      <w:tr>
        <w:tblPrEx>
          <w:tblLayout w:type="fixed"/>
          <w:tblCellMar>
            <w:top w:w="0" w:type="dxa"/>
            <w:left w:w="108" w:type="dxa"/>
            <w:bottom w:w="0" w:type="dxa"/>
            <w:right w:w="108" w:type="dxa"/>
          </w:tblCellMar>
        </w:tblPrEx>
        <w:trPr>
          <w:trHeight w:val="341" w:hRule="atLeast"/>
          <w:jc w:val="center"/>
        </w:trPr>
        <w:tc>
          <w:tcPr>
            <w:tcW w:w="1541" w:type="dxa"/>
            <w:vMerge w:val="continue"/>
            <w:tcBorders>
              <w:top w:val="nil"/>
              <w:left w:val="single" w:color="auto" w:sz="4" w:space="0"/>
              <w:bottom w:val="single" w:color="auto" w:sz="4" w:space="0"/>
              <w:right w:val="single" w:color="auto" w:sz="4" w:space="0"/>
            </w:tcBorders>
            <w:vAlign w:val="center"/>
          </w:tcPr>
          <w:p>
            <w:pPr>
              <w:spacing w:line="300" w:lineRule="exact"/>
              <w:rPr>
                <w:sz w:val="21"/>
                <w:szCs w:val="21"/>
                <w:u w:color="1C654D"/>
              </w:rPr>
            </w:pPr>
          </w:p>
        </w:tc>
        <w:tc>
          <w:tcPr>
            <w:tcW w:w="8233" w:type="dxa"/>
            <w:tcBorders>
              <w:top w:val="single" w:color="auto" w:sz="4" w:space="0"/>
              <w:left w:val="nil"/>
              <w:bottom w:val="single" w:color="auto" w:sz="4" w:space="0"/>
              <w:right w:val="single" w:color="000000" w:sz="4" w:space="0"/>
            </w:tcBorders>
            <w:shd w:val="clear" w:color="auto" w:fill="auto"/>
            <w:vAlign w:val="center"/>
          </w:tcPr>
          <w:p>
            <w:pPr>
              <w:spacing w:line="320" w:lineRule="exact"/>
              <w:rPr>
                <w:sz w:val="21"/>
                <w:szCs w:val="21"/>
                <w:u w:color="1C654D"/>
              </w:rPr>
            </w:pPr>
            <w:r>
              <w:rPr>
                <w:rFonts w:hint="eastAsia"/>
                <w:sz w:val="21"/>
                <w:szCs w:val="21"/>
                <w:u w:color="1C654D"/>
              </w:rPr>
              <w:t>艺术类小组课：R=0.7（人数≤3）；R=0.8（4≤人数≤10）；R=1（10＜人数）</w:t>
            </w:r>
          </w:p>
        </w:tc>
      </w:tr>
      <w:tr>
        <w:tblPrEx>
          <w:tblLayout w:type="fixed"/>
          <w:tblCellMar>
            <w:top w:w="0" w:type="dxa"/>
            <w:left w:w="108" w:type="dxa"/>
            <w:bottom w:w="0" w:type="dxa"/>
            <w:right w:w="108" w:type="dxa"/>
          </w:tblCellMar>
        </w:tblPrEx>
        <w:trPr>
          <w:trHeight w:val="341" w:hRule="atLeast"/>
          <w:jc w:val="center"/>
        </w:trPr>
        <w:tc>
          <w:tcPr>
            <w:tcW w:w="1541" w:type="dxa"/>
            <w:vMerge w:val="restart"/>
            <w:tcBorders>
              <w:top w:val="single" w:color="auto" w:sz="4" w:space="0"/>
              <w:left w:val="single" w:color="auto" w:sz="4" w:space="0"/>
              <w:right w:val="single" w:color="auto" w:sz="4" w:space="0"/>
            </w:tcBorders>
            <w:shd w:val="clear" w:color="auto" w:fill="auto"/>
            <w:vAlign w:val="center"/>
          </w:tcPr>
          <w:p>
            <w:pPr>
              <w:spacing w:line="300" w:lineRule="exact"/>
              <w:jc w:val="center"/>
              <w:rPr>
                <w:sz w:val="21"/>
                <w:szCs w:val="21"/>
                <w:u w:color="1C654D"/>
              </w:rPr>
            </w:pPr>
            <w:r>
              <w:rPr>
                <w:rFonts w:hint="eastAsia"/>
                <w:sz w:val="21"/>
                <w:szCs w:val="21"/>
                <w:u w:color="1C654D"/>
              </w:rPr>
              <w:t>T:特殊课程系数</w:t>
            </w:r>
          </w:p>
        </w:tc>
        <w:tc>
          <w:tcPr>
            <w:tcW w:w="8233" w:type="dxa"/>
            <w:tcBorders>
              <w:top w:val="single" w:color="auto" w:sz="4" w:space="0"/>
              <w:left w:val="nil"/>
              <w:bottom w:val="single" w:color="auto" w:sz="4" w:space="0"/>
              <w:right w:val="single" w:color="000000" w:sz="4" w:space="0"/>
            </w:tcBorders>
            <w:shd w:val="clear" w:color="auto" w:fill="auto"/>
            <w:vAlign w:val="center"/>
          </w:tcPr>
          <w:p>
            <w:pPr>
              <w:spacing w:line="320" w:lineRule="exact"/>
              <w:rPr>
                <w:sz w:val="21"/>
                <w:szCs w:val="21"/>
                <w:u w:color="1C654D"/>
              </w:rPr>
            </w:pPr>
            <w:r>
              <w:rPr>
                <w:rFonts w:hint="eastAsia"/>
                <w:sz w:val="21"/>
                <w:szCs w:val="21"/>
                <w:u w:color="1C654D"/>
              </w:rPr>
              <w:t>T=0.2，双语教学课</w:t>
            </w:r>
          </w:p>
        </w:tc>
      </w:tr>
      <w:tr>
        <w:tblPrEx>
          <w:tblLayout w:type="fixed"/>
          <w:tblCellMar>
            <w:top w:w="0" w:type="dxa"/>
            <w:left w:w="108" w:type="dxa"/>
            <w:bottom w:w="0" w:type="dxa"/>
            <w:right w:w="108" w:type="dxa"/>
          </w:tblCellMar>
        </w:tblPrEx>
        <w:trPr>
          <w:trHeight w:val="341" w:hRule="atLeast"/>
          <w:jc w:val="center"/>
        </w:trPr>
        <w:tc>
          <w:tcPr>
            <w:tcW w:w="1541" w:type="dxa"/>
            <w:vMerge w:val="continue"/>
            <w:tcBorders>
              <w:left w:val="single" w:color="auto" w:sz="4" w:space="0"/>
              <w:right w:val="single" w:color="auto" w:sz="4" w:space="0"/>
            </w:tcBorders>
            <w:shd w:val="clear" w:color="auto" w:fill="auto"/>
            <w:vAlign w:val="center"/>
          </w:tcPr>
          <w:p>
            <w:pPr>
              <w:spacing w:line="300" w:lineRule="exact"/>
              <w:jc w:val="center"/>
              <w:rPr>
                <w:sz w:val="21"/>
                <w:szCs w:val="21"/>
                <w:u w:color="1C654D"/>
              </w:rPr>
            </w:pPr>
          </w:p>
        </w:tc>
        <w:tc>
          <w:tcPr>
            <w:tcW w:w="8233" w:type="dxa"/>
            <w:tcBorders>
              <w:top w:val="single" w:color="auto" w:sz="4" w:space="0"/>
              <w:left w:val="nil"/>
              <w:bottom w:val="single" w:color="auto" w:sz="4" w:space="0"/>
              <w:right w:val="single" w:color="000000" w:sz="4" w:space="0"/>
            </w:tcBorders>
            <w:shd w:val="clear" w:color="auto" w:fill="auto"/>
            <w:vAlign w:val="center"/>
          </w:tcPr>
          <w:p>
            <w:pPr>
              <w:spacing w:line="320" w:lineRule="exact"/>
              <w:rPr>
                <w:sz w:val="21"/>
                <w:szCs w:val="21"/>
                <w:u w:color="1C654D"/>
              </w:rPr>
            </w:pPr>
            <w:r>
              <w:rPr>
                <w:rFonts w:hint="eastAsia"/>
                <w:sz w:val="21"/>
                <w:szCs w:val="21"/>
                <w:u w:color="1C654D"/>
              </w:rPr>
              <w:t>T=0.2，教师承担多门课程的，第3、4门课计算该系数（课程学时不同时，按学时多的课程计算），第5门</w:t>
            </w:r>
            <w:r>
              <w:rPr>
                <w:rFonts w:hint="eastAsia"/>
                <w:sz w:val="21"/>
                <w:szCs w:val="21"/>
              </w:rPr>
              <w:t>以</w:t>
            </w:r>
            <w:r>
              <w:rPr>
                <w:rFonts w:hint="eastAsia"/>
                <w:sz w:val="21"/>
                <w:szCs w:val="21"/>
                <w:u w:color="1C654D"/>
              </w:rPr>
              <w:t>后</w:t>
            </w:r>
            <w:r>
              <w:rPr>
                <w:rFonts w:hint="eastAsia"/>
                <w:sz w:val="21"/>
                <w:szCs w:val="21"/>
              </w:rPr>
              <w:t>（含第5门）不再计算</w:t>
            </w:r>
          </w:p>
        </w:tc>
      </w:tr>
      <w:tr>
        <w:tblPrEx>
          <w:tblLayout w:type="fixed"/>
          <w:tblCellMar>
            <w:top w:w="0" w:type="dxa"/>
            <w:left w:w="108" w:type="dxa"/>
            <w:bottom w:w="0" w:type="dxa"/>
            <w:right w:w="108" w:type="dxa"/>
          </w:tblCellMar>
        </w:tblPrEx>
        <w:trPr>
          <w:trHeight w:val="341" w:hRule="atLeast"/>
          <w:jc w:val="center"/>
        </w:trPr>
        <w:tc>
          <w:tcPr>
            <w:tcW w:w="1541" w:type="dxa"/>
            <w:vMerge w:val="continue"/>
            <w:tcBorders>
              <w:left w:val="single" w:color="auto" w:sz="4" w:space="0"/>
              <w:right w:val="single" w:color="auto" w:sz="4" w:space="0"/>
            </w:tcBorders>
            <w:shd w:val="clear" w:color="auto" w:fill="auto"/>
            <w:vAlign w:val="center"/>
          </w:tcPr>
          <w:p>
            <w:pPr>
              <w:spacing w:line="300" w:lineRule="exact"/>
              <w:jc w:val="center"/>
              <w:rPr>
                <w:sz w:val="21"/>
                <w:szCs w:val="21"/>
                <w:u w:color="1C654D"/>
              </w:rPr>
            </w:pPr>
          </w:p>
        </w:tc>
        <w:tc>
          <w:tcPr>
            <w:tcW w:w="8233" w:type="dxa"/>
            <w:tcBorders>
              <w:top w:val="single" w:color="auto" w:sz="4" w:space="0"/>
              <w:left w:val="nil"/>
              <w:bottom w:val="single" w:color="auto" w:sz="4" w:space="0"/>
              <w:right w:val="single" w:color="000000" w:sz="4" w:space="0"/>
            </w:tcBorders>
            <w:shd w:val="clear" w:color="auto" w:fill="auto"/>
            <w:vAlign w:val="center"/>
          </w:tcPr>
          <w:p>
            <w:pPr>
              <w:spacing w:line="320" w:lineRule="exact"/>
              <w:rPr>
                <w:sz w:val="21"/>
                <w:szCs w:val="21"/>
                <w:u w:color="1C654D"/>
              </w:rPr>
            </w:pPr>
            <w:r>
              <w:rPr>
                <w:rFonts w:hint="eastAsia"/>
                <w:sz w:val="21"/>
                <w:szCs w:val="21"/>
                <w:u w:color="1C654D"/>
              </w:rPr>
              <w:t>T=0.3，创新班（实验班）必修的学科基础课、专业课</w:t>
            </w:r>
          </w:p>
        </w:tc>
      </w:tr>
      <w:tr>
        <w:tblPrEx>
          <w:tblLayout w:type="fixed"/>
          <w:tblCellMar>
            <w:top w:w="0" w:type="dxa"/>
            <w:left w:w="108" w:type="dxa"/>
            <w:bottom w:w="0" w:type="dxa"/>
            <w:right w:w="108" w:type="dxa"/>
          </w:tblCellMar>
        </w:tblPrEx>
        <w:trPr>
          <w:trHeight w:val="341" w:hRule="atLeast"/>
          <w:jc w:val="center"/>
        </w:trPr>
        <w:tc>
          <w:tcPr>
            <w:tcW w:w="1541" w:type="dxa"/>
            <w:vMerge w:val="continue"/>
            <w:tcBorders>
              <w:left w:val="single" w:color="auto" w:sz="4" w:space="0"/>
              <w:bottom w:val="single" w:color="auto" w:sz="4" w:space="0"/>
              <w:right w:val="single" w:color="auto" w:sz="4" w:space="0"/>
            </w:tcBorders>
            <w:shd w:val="clear" w:color="auto" w:fill="auto"/>
            <w:vAlign w:val="center"/>
          </w:tcPr>
          <w:p>
            <w:pPr>
              <w:spacing w:line="300" w:lineRule="exact"/>
              <w:jc w:val="center"/>
              <w:rPr>
                <w:sz w:val="21"/>
                <w:szCs w:val="21"/>
                <w:u w:color="1C654D"/>
              </w:rPr>
            </w:pPr>
          </w:p>
        </w:tc>
        <w:tc>
          <w:tcPr>
            <w:tcW w:w="8233" w:type="dxa"/>
            <w:tcBorders>
              <w:top w:val="single" w:color="auto" w:sz="4" w:space="0"/>
              <w:left w:val="nil"/>
              <w:bottom w:val="single" w:color="auto" w:sz="4" w:space="0"/>
              <w:right w:val="single" w:color="000000" w:sz="4" w:space="0"/>
            </w:tcBorders>
            <w:shd w:val="clear" w:color="auto" w:fill="auto"/>
            <w:vAlign w:val="center"/>
          </w:tcPr>
          <w:p>
            <w:pPr>
              <w:spacing w:line="320" w:lineRule="exact"/>
              <w:rPr>
                <w:sz w:val="21"/>
                <w:szCs w:val="21"/>
                <w:u w:color="1C654D"/>
              </w:rPr>
            </w:pPr>
            <w:r>
              <w:rPr>
                <w:rFonts w:hint="eastAsia"/>
                <w:sz w:val="21"/>
                <w:szCs w:val="21"/>
                <w:u w:color="1C654D"/>
              </w:rPr>
              <w:t>T=0.2，单个行政班开设的中英文写作课</w:t>
            </w:r>
          </w:p>
        </w:tc>
      </w:tr>
      <w:tr>
        <w:tblPrEx>
          <w:tblLayout w:type="fixed"/>
          <w:tblCellMar>
            <w:top w:w="0" w:type="dxa"/>
            <w:left w:w="108" w:type="dxa"/>
            <w:bottom w:w="0" w:type="dxa"/>
            <w:right w:w="108" w:type="dxa"/>
          </w:tblCellMar>
        </w:tblPrEx>
        <w:trPr>
          <w:trHeight w:val="2209" w:hRule="atLeast"/>
          <w:jc w:val="center"/>
        </w:trPr>
        <w:tc>
          <w:tcPr>
            <w:tcW w:w="9774" w:type="dxa"/>
            <w:gridSpan w:val="2"/>
            <w:tcBorders>
              <w:top w:val="single" w:color="auto" w:sz="4" w:space="0"/>
              <w:left w:val="single" w:color="auto" w:sz="4" w:space="0"/>
              <w:bottom w:val="single" w:color="000000" w:sz="4" w:space="0"/>
              <w:right w:val="single" w:color="000000" w:sz="4" w:space="0"/>
            </w:tcBorders>
            <w:vAlign w:val="center"/>
          </w:tcPr>
          <w:p>
            <w:pPr>
              <w:spacing w:line="300" w:lineRule="exact"/>
              <w:rPr>
                <w:sz w:val="21"/>
                <w:szCs w:val="21"/>
                <w:u w:color="1C654D"/>
              </w:rPr>
            </w:pPr>
            <w:r>
              <w:rPr>
                <w:rFonts w:hint="eastAsia"/>
                <w:sz w:val="21"/>
                <w:szCs w:val="21"/>
                <w:u w:color="1C654D"/>
              </w:rPr>
              <w:t>说明：</w:t>
            </w:r>
          </w:p>
          <w:p>
            <w:pPr>
              <w:spacing w:line="300" w:lineRule="exact"/>
              <w:rPr>
                <w:sz w:val="21"/>
                <w:szCs w:val="21"/>
                <w:u w:color="1C654D"/>
              </w:rPr>
            </w:pPr>
            <w:r>
              <w:rPr>
                <w:rFonts w:hint="eastAsia"/>
                <w:sz w:val="21"/>
                <w:szCs w:val="21"/>
                <w:u w:color="1C654D"/>
              </w:rPr>
              <w:t>1.上课人数小于20人的不予开班。</w:t>
            </w:r>
          </w:p>
          <w:p>
            <w:pPr>
              <w:spacing w:line="300" w:lineRule="exact"/>
              <w:rPr>
                <w:sz w:val="21"/>
                <w:szCs w:val="21"/>
                <w:u w:color="1C654D"/>
              </w:rPr>
            </w:pPr>
            <w:r>
              <w:rPr>
                <w:rFonts w:hint="eastAsia"/>
                <w:sz w:val="21"/>
                <w:szCs w:val="21"/>
                <w:u w:color="1C654D"/>
              </w:rPr>
              <w:t>2.单个行政班人数小于40人的，其单独开班的课程人数系数按1</w:t>
            </w:r>
            <w:r>
              <w:rPr>
                <w:sz w:val="21"/>
                <w:szCs w:val="21"/>
                <w:u w:color="1C654D"/>
              </w:rPr>
              <w:t>.0</w:t>
            </w:r>
            <w:r>
              <w:rPr>
                <w:rFonts w:hint="eastAsia"/>
                <w:sz w:val="21"/>
                <w:szCs w:val="21"/>
                <w:u w:color="1C654D"/>
              </w:rPr>
              <w:t>计算。</w:t>
            </w:r>
          </w:p>
          <w:p>
            <w:pPr>
              <w:spacing w:line="300" w:lineRule="exact"/>
              <w:rPr>
                <w:sz w:val="21"/>
                <w:szCs w:val="21"/>
                <w:u w:color="1C654D"/>
              </w:rPr>
            </w:pPr>
            <w:r>
              <w:rPr>
                <w:rFonts w:hint="eastAsia"/>
                <w:sz w:val="21"/>
                <w:szCs w:val="21"/>
                <w:u w:color="1C654D"/>
              </w:rPr>
              <w:t>3.一门课程同时符合一个以上“特殊课程系数”标准时，系数不累计。</w:t>
            </w:r>
          </w:p>
          <w:p>
            <w:pPr>
              <w:spacing w:line="300" w:lineRule="exact"/>
              <w:rPr>
                <w:sz w:val="21"/>
                <w:szCs w:val="21"/>
                <w:u w:color="1C654D"/>
              </w:rPr>
            </w:pPr>
            <w:r>
              <w:rPr>
                <w:rFonts w:hint="eastAsia"/>
                <w:sz w:val="21"/>
                <w:szCs w:val="21"/>
                <w:u w:color="1C654D"/>
              </w:rPr>
              <w:t>4.专业英语课程和外语类专业的课程不属于双语教学课。</w:t>
            </w:r>
          </w:p>
          <w:p>
            <w:pPr>
              <w:spacing w:line="300" w:lineRule="exact"/>
              <w:rPr>
                <w:sz w:val="21"/>
                <w:szCs w:val="21"/>
                <w:u w:color="1C654D"/>
              </w:rPr>
            </w:pPr>
            <w:r>
              <w:rPr>
                <w:rFonts w:hint="eastAsia"/>
                <w:sz w:val="21"/>
                <w:szCs w:val="21"/>
                <w:u w:color="1C654D"/>
              </w:rPr>
              <w:t>5.双语教学课和创新班（实验班）必修的学科基础课、专业课计算“特殊课程系数”后，不再计入教师承担课程总门数。</w:t>
            </w:r>
          </w:p>
          <w:p>
            <w:pPr>
              <w:spacing w:line="300" w:lineRule="exact"/>
              <w:rPr>
                <w:sz w:val="21"/>
                <w:szCs w:val="21"/>
                <w:u w:color="1C654D"/>
              </w:rPr>
            </w:pPr>
            <w:r>
              <w:rPr>
                <w:rFonts w:hint="eastAsia"/>
                <w:sz w:val="21"/>
                <w:szCs w:val="21"/>
                <w:u w:color="1C654D"/>
              </w:rPr>
              <w:t>6.上机课与理论课计算方法一致。</w:t>
            </w:r>
          </w:p>
        </w:tc>
      </w:tr>
    </w:tbl>
    <w:p>
      <w:pPr>
        <w:spacing w:beforeLines="50" w:line="540" w:lineRule="exact"/>
        <w:ind w:firstLine="422" w:firstLineChars="200"/>
        <w:rPr>
          <w:rFonts w:ascii="仿宋_GB2312" w:eastAsia="仿宋_GB2312"/>
          <w:sz w:val="21"/>
          <w:szCs w:val="21"/>
          <w:u w:color="1C654D"/>
        </w:rPr>
      </w:pPr>
      <w:r>
        <w:rPr>
          <w:rFonts w:hint="eastAsia" w:ascii="仿宋_GB2312" w:eastAsia="仿宋_GB2312"/>
          <w:b/>
          <w:sz w:val="21"/>
          <w:szCs w:val="21"/>
          <w:u w:color="1C654D"/>
        </w:rPr>
        <w:t>第五条</w:t>
      </w:r>
      <w:r>
        <w:rPr>
          <w:rFonts w:hint="eastAsia" w:ascii="仿宋_GB2312" w:eastAsia="仿宋_GB2312"/>
          <w:sz w:val="21"/>
          <w:szCs w:val="21"/>
          <w:u w:color="1C654D"/>
        </w:rPr>
        <w:t xml:space="preserve">  理工类课内实验教学</w:t>
      </w:r>
    </w:p>
    <w:p>
      <w:pPr>
        <w:spacing w:line="540" w:lineRule="exact"/>
        <w:ind w:firstLine="420" w:firstLineChars="200"/>
        <w:rPr>
          <w:rFonts w:ascii="仿宋_GB2312" w:eastAsia="仿宋_GB2312"/>
          <w:sz w:val="21"/>
          <w:szCs w:val="21"/>
          <w:u w:color="1C654D"/>
        </w:rPr>
      </w:pPr>
      <w:r>
        <w:rPr>
          <w:rFonts w:hint="eastAsia" w:ascii="仿宋_GB2312" w:eastAsia="仿宋_GB2312"/>
          <w:sz w:val="21"/>
          <w:szCs w:val="21"/>
          <w:u w:color="1C654D"/>
        </w:rPr>
        <w:t>标准学时数=学时数×S</w:t>
      </w:r>
    </w:p>
    <w:tbl>
      <w:tblPr>
        <w:tblStyle w:val="9"/>
        <w:tblW w:w="9812" w:type="dxa"/>
        <w:jc w:val="center"/>
        <w:tblInd w:w="0" w:type="dxa"/>
        <w:tblLayout w:type="fixed"/>
        <w:tblCellMar>
          <w:top w:w="0" w:type="dxa"/>
          <w:left w:w="108" w:type="dxa"/>
          <w:bottom w:w="0" w:type="dxa"/>
          <w:right w:w="108" w:type="dxa"/>
        </w:tblCellMar>
      </w:tblPr>
      <w:tblGrid>
        <w:gridCol w:w="1776"/>
        <w:gridCol w:w="8036"/>
      </w:tblGrid>
      <w:tr>
        <w:tblPrEx>
          <w:tblLayout w:type="fixed"/>
          <w:tblCellMar>
            <w:top w:w="0" w:type="dxa"/>
            <w:left w:w="108" w:type="dxa"/>
            <w:bottom w:w="0" w:type="dxa"/>
            <w:right w:w="108" w:type="dxa"/>
          </w:tblCellMar>
        </w:tblPrEx>
        <w:trPr>
          <w:trHeight w:val="377" w:hRule="atLeast"/>
          <w:jc w:val="center"/>
        </w:trPr>
        <w:tc>
          <w:tcPr>
            <w:tcW w:w="17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b/>
                <w:sz w:val="21"/>
                <w:szCs w:val="21"/>
                <w:u w:color="1C654D"/>
              </w:rPr>
            </w:pPr>
            <w:r>
              <w:rPr>
                <w:rFonts w:hint="eastAsia"/>
                <w:b/>
                <w:sz w:val="21"/>
                <w:szCs w:val="21"/>
                <w:u w:color="1C654D"/>
              </w:rPr>
              <w:t>批次说明</w:t>
            </w:r>
          </w:p>
        </w:tc>
        <w:tc>
          <w:tcPr>
            <w:tcW w:w="8036" w:type="dxa"/>
            <w:tcBorders>
              <w:top w:val="single" w:color="auto" w:sz="4" w:space="0"/>
              <w:left w:val="nil"/>
              <w:bottom w:val="single" w:color="auto" w:sz="4" w:space="0"/>
              <w:right w:val="single" w:color="000000" w:sz="4" w:space="0"/>
            </w:tcBorders>
            <w:shd w:val="clear" w:color="auto" w:fill="auto"/>
            <w:vAlign w:val="center"/>
          </w:tcPr>
          <w:p>
            <w:pPr>
              <w:spacing w:line="320" w:lineRule="exact"/>
              <w:jc w:val="center"/>
              <w:rPr>
                <w:b/>
                <w:sz w:val="21"/>
                <w:szCs w:val="21"/>
                <w:u w:color="1C654D"/>
              </w:rPr>
            </w:pPr>
            <w:r>
              <w:rPr>
                <w:rFonts w:hint="eastAsia"/>
                <w:b/>
                <w:sz w:val="21"/>
                <w:szCs w:val="21"/>
                <w:u w:color="1C654D"/>
              </w:rPr>
              <w:t>系数标准</w:t>
            </w:r>
          </w:p>
        </w:tc>
      </w:tr>
      <w:tr>
        <w:tblPrEx>
          <w:tblLayout w:type="fixed"/>
          <w:tblCellMar>
            <w:top w:w="0" w:type="dxa"/>
            <w:left w:w="108" w:type="dxa"/>
            <w:bottom w:w="0" w:type="dxa"/>
            <w:right w:w="108" w:type="dxa"/>
          </w:tblCellMar>
        </w:tblPrEx>
        <w:trPr>
          <w:trHeight w:val="258" w:hRule="atLeast"/>
          <w:jc w:val="center"/>
        </w:trPr>
        <w:tc>
          <w:tcPr>
            <w:tcW w:w="17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b/>
                <w:sz w:val="21"/>
                <w:szCs w:val="21"/>
                <w:u w:color="1C654D"/>
              </w:rPr>
            </w:pPr>
            <w:r>
              <w:rPr>
                <w:rFonts w:hint="eastAsia"/>
                <w:sz w:val="21"/>
                <w:szCs w:val="21"/>
                <w:u w:color="1C654D"/>
              </w:rPr>
              <w:t>一批完成</w:t>
            </w:r>
            <w:r>
              <w:rPr>
                <w:sz w:val="21"/>
                <w:szCs w:val="21"/>
                <w:u w:color="1C654D"/>
              </w:rPr>
              <w:br w:type="textWrapping"/>
            </w:r>
            <w:r>
              <w:rPr>
                <w:rFonts w:hint="eastAsia"/>
                <w:sz w:val="21"/>
                <w:szCs w:val="21"/>
                <w:u w:color="1C654D"/>
              </w:rPr>
              <w:t>实验</w:t>
            </w:r>
          </w:p>
        </w:tc>
        <w:tc>
          <w:tcPr>
            <w:tcW w:w="8036" w:type="dxa"/>
            <w:tcBorders>
              <w:top w:val="single" w:color="auto" w:sz="4" w:space="0"/>
              <w:left w:val="nil"/>
              <w:bottom w:val="single" w:color="auto" w:sz="4" w:space="0"/>
              <w:right w:val="single" w:color="000000" w:sz="4" w:space="0"/>
            </w:tcBorders>
            <w:shd w:val="clear" w:color="auto" w:fill="auto"/>
            <w:vAlign w:val="center"/>
          </w:tcPr>
          <w:p>
            <w:pPr>
              <w:spacing w:line="320" w:lineRule="exact"/>
              <w:rPr>
                <w:b/>
                <w:sz w:val="21"/>
                <w:szCs w:val="21"/>
                <w:u w:color="1C654D"/>
              </w:rPr>
            </w:pPr>
            <w:r>
              <w:rPr>
                <w:rFonts w:hint="eastAsia"/>
                <w:sz w:val="21"/>
                <w:szCs w:val="21"/>
                <w:u w:color="1C654D"/>
              </w:rPr>
              <w:t>S＝R（R为人数系数，计算方法与理论教学相同）</w:t>
            </w:r>
          </w:p>
        </w:tc>
      </w:tr>
      <w:tr>
        <w:tblPrEx>
          <w:tblLayout w:type="fixed"/>
          <w:tblCellMar>
            <w:top w:w="0" w:type="dxa"/>
            <w:left w:w="108" w:type="dxa"/>
            <w:bottom w:w="0" w:type="dxa"/>
            <w:right w:w="108" w:type="dxa"/>
          </w:tblCellMar>
        </w:tblPrEx>
        <w:trPr>
          <w:trHeight w:val="255" w:hRule="atLeast"/>
          <w:jc w:val="center"/>
        </w:trPr>
        <w:tc>
          <w:tcPr>
            <w:tcW w:w="17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sz w:val="21"/>
                <w:szCs w:val="21"/>
                <w:u w:color="1C654D"/>
              </w:rPr>
            </w:pPr>
            <w:r>
              <w:rPr>
                <w:rFonts w:hint="eastAsia"/>
                <w:sz w:val="21"/>
                <w:szCs w:val="21"/>
                <w:u w:color="1C654D"/>
              </w:rPr>
              <w:t>两批完成</w:t>
            </w:r>
            <w:r>
              <w:rPr>
                <w:sz w:val="21"/>
                <w:szCs w:val="21"/>
                <w:u w:color="1C654D"/>
              </w:rPr>
              <w:br w:type="textWrapping"/>
            </w:r>
            <w:r>
              <w:rPr>
                <w:rFonts w:hint="eastAsia"/>
                <w:sz w:val="21"/>
                <w:szCs w:val="21"/>
                <w:u w:color="1C654D"/>
              </w:rPr>
              <w:t>实验</w:t>
            </w:r>
          </w:p>
        </w:tc>
        <w:tc>
          <w:tcPr>
            <w:tcW w:w="8036" w:type="dxa"/>
            <w:tcBorders>
              <w:top w:val="single" w:color="auto" w:sz="4" w:space="0"/>
              <w:left w:val="nil"/>
              <w:bottom w:val="single" w:color="auto" w:sz="4" w:space="0"/>
              <w:right w:val="single" w:color="000000" w:sz="4" w:space="0"/>
            </w:tcBorders>
            <w:shd w:val="clear" w:color="auto" w:fill="auto"/>
            <w:vAlign w:val="center"/>
          </w:tcPr>
          <w:p>
            <w:pPr>
              <w:spacing w:line="320" w:lineRule="exact"/>
              <w:rPr>
                <w:sz w:val="21"/>
                <w:szCs w:val="21"/>
                <w:u w:color="1C654D"/>
              </w:rPr>
            </w:pPr>
            <w:r>
              <w:rPr>
                <w:rFonts w:hint="eastAsia"/>
                <w:sz w:val="21"/>
                <w:szCs w:val="21"/>
                <w:u w:color="1C654D"/>
              </w:rPr>
              <w:t>S＝R1+ R2（R1为第一批实验的人数系数，R2为第二批实验的人数系数）</w:t>
            </w:r>
          </w:p>
        </w:tc>
      </w:tr>
      <w:tr>
        <w:tblPrEx>
          <w:tblLayout w:type="fixed"/>
          <w:tblCellMar>
            <w:top w:w="0" w:type="dxa"/>
            <w:left w:w="108" w:type="dxa"/>
            <w:bottom w:w="0" w:type="dxa"/>
            <w:right w:w="108" w:type="dxa"/>
          </w:tblCellMar>
        </w:tblPrEx>
        <w:trPr>
          <w:trHeight w:val="882" w:hRule="atLeast"/>
          <w:jc w:val="center"/>
        </w:trPr>
        <w:tc>
          <w:tcPr>
            <w:tcW w:w="1776" w:type="dxa"/>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sz w:val="21"/>
                <w:szCs w:val="21"/>
                <w:u w:color="1C654D"/>
              </w:rPr>
            </w:pPr>
            <w:r>
              <w:rPr>
                <w:rFonts w:hint="eastAsia"/>
                <w:sz w:val="21"/>
                <w:szCs w:val="21"/>
                <w:u w:color="1C654D"/>
              </w:rPr>
              <w:t>说明</w:t>
            </w:r>
          </w:p>
        </w:tc>
        <w:tc>
          <w:tcPr>
            <w:tcW w:w="8036" w:type="dxa"/>
            <w:tcBorders>
              <w:top w:val="single" w:color="auto" w:sz="4" w:space="0"/>
              <w:left w:val="nil"/>
              <w:bottom w:val="single" w:color="auto" w:sz="4" w:space="0"/>
              <w:right w:val="single" w:color="auto" w:sz="4" w:space="0"/>
            </w:tcBorders>
            <w:shd w:val="clear" w:color="auto" w:fill="auto"/>
            <w:vAlign w:val="center"/>
          </w:tcPr>
          <w:p>
            <w:pPr>
              <w:spacing w:line="320" w:lineRule="exact"/>
              <w:rPr>
                <w:sz w:val="21"/>
                <w:szCs w:val="21"/>
                <w:u w:color="1C654D"/>
              </w:rPr>
            </w:pPr>
            <w:r>
              <w:rPr>
                <w:rFonts w:hint="eastAsia"/>
                <w:sz w:val="21"/>
                <w:szCs w:val="21"/>
                <w:u w:color="1C654D"/>
              </w:rPr>
              <w:t>1.实验员负责实验前的准备,实验过程中实验设备的管理。</w:t>
            </w:r>
          </w:p>
          <w:p>
            <w:pPr>
              <w:spacing w:line="320" w:lineRule="exact"/>
              <w:rPr>
                <w:sz w:val="21"/>
                <w:szCs w:val="21"/>
                <w:u w:color="1C654D"/>
              </w:rPr>
            </w:pPr>
            <w:r>
              <w:rPr>
                <w:rFonts w:hint="eastAsia"/>
                <w:sz w:val="21"/>
                <w:szCs w:val="21"/>
                <w:u w:color="1C654D"/>
              </w:rPr>
              <w:t>2.教师在实验前必须做预备实验，并负责学生实验课教学的全过程。</w:t>
            </w:r>
          </w:p>
          <w:p>
            <w:pPr>
              <w:spacing w:line="320" w:lineRule="exact"/>
              <w:rPr>
                <w:sz w:val="21"/>
                <w:szCs w:val="21"/>
                <w:u w:color="1C654D"/>
              </w:rPr>
            </w:pPr>
            <w:r>
              <w:rPr>
                <w:rFonts w:hint="eastAsia"/>
                <w:sz w:val="21"/>
                <w:szCs w:val="21"/>
                <w:u w:color="1C654D"/>
              </w:rPr>
              <w:t>3.每批次实验课程的实际上课时间不能少于实验学时，实验批次超过2批的，第3批以后（含第3批）的人数计入第二批一并计算人数系数。</w:t>
            </w:r>
          </w:p>
        </w:tc>
      </w:tr>
    </w:tbl>
    <w:p>
      <w:pPr>
        <w:spacing w:beforeLines="50" w:line="540" w:lineRule="exact"/>
        <w:ind w:firstLine="422" w:firstLineChars="200"/>
        <w:rPr>
          <w:rFonts w:ascii="仿宋_GB2312" w:eastAsia="仿宋_GB2312"/>
          <w:b/>
          <w:sz w:val="21"/>
          <w:szCs w:val="21"/>
          <w:u w:color="1C654D"/>
        </w:rPr>
      </w:pPr>
      <w:r>
        <w:rPr>
          <w:rFonts w:hint="eastAsia" w:ascii="仿宋_GB2312" w:eastAsia="仿宋_GB2312"/>
          <w:b/>
          <w:sz w:val="21"/>
          <w:szCs w:val="21"/>
          <w:u w:color="1C654D"/>
        </w:rPr>
        <w:t xml:space="preserve">第六条  </w:t>
      </w:r>
      <w:r>
        <w:rPr>
          <w:rFonts w:hint="eastAsia" w:ascii="仿宋_GB2312" w:eastAsia="仿宋_GB2312"/>
          <w:sz w:val="21"/>
          <w:szCs w:val="21"/>
          <w:u w:color="1C654D"/>
        </w:rPr>
        <w:t>实践教学</w:t>
      </w:r>
    </w:p>
    <w:p>
      <w:pPr>
        <w:spacing w:line="540" w:lineRule="exact"/>
        <w:ind w:firstLine="420" w:firstLineChars="200"/>
        <w:rPr>
          <w:rFonts w:ascii="仿宋_GB2312" w:eastAsia="仿宋_GB2312"/>
          <w:sz w:val="21"/>
          <w:szCs w:val="21"/>
          <w:u w:color="1C654D"/>
        </w:rPr>
      </w:pPr>
      <w:r>
        <w:rPr>
          <w:rFonts w:hint="eastAsia" w:ascii="仿宋_GB2312" w:eastAsia="仿宋_GB2312"/>
          <w:sz w:val="21"/>
          <w:szCs w:val="21"/>
          <w:u w:color="1C654D"/>
        </w:rPr>
        <w:t>1</w:t>
      </w:r>
      <w:r>
        <w:rPr>
          <w:rFonts w:hint="eastAsia" w:ascii="仿宋_GB2312" w:eastAsia="仿宋_GB2312"/>
          <w:sz w:val="21"/>
          <w:szCs w:val="21"/>
        </w:rPr>
        <w:t>.</w:t>
      </w:r>
      <w:r>
        <w:rPr>
          <w:rFonts w:hint="eastAsia" w:ascii="仿宋_GB2312" w:eastAsia="仿宋_GB2312"/>
          <w:sz w:val="21"/>
          <w:szCs w:val="21"/>
          <w:u w:color="1C654D"/>
        </w:rPr>
        <w:t>校内实践</w:t>
      </w:r>
    </w:p>
    <w:tbl>
      <w:tblPr>
        <w:tblStyle w:val="9"/>
        <w:tblW w:w="9651" w:type="dxa"/>
        <w:jc w:val="center"/>
        <w:tblInd w:w="0" w:type="dxa"/>
        <w:tblLayout w:type="fixed"/>
        <w:tblCellMar>
          <w:top w:w="0" w:type="dxa"/>
          <w:left w:w="108" w:type="dxa"/>
          <w:bottom w:w="0" w:type="dxa"/>
          <w:right w:w="108" w:type="dxa"/>
        </w:tblCellMar>
      </w:tblPr>
      <w:tblGrid>
        <w:gridCol w:w="2686"/>
        <w:gridCol w:w="3235"/>
        <w:gridCol w:w="3730"/>
      </w:tblGrid>
      <w:tr>
        <w:tblPrEx>
          <w:tblLayout w:type="fixed"/>
          <w:tblCellMar>
            <w:top w:w="0" w:type="dxa"/>
            <w:left w:w="108" w:type="dxa"/>
            <w:bottom w:w="0" w:type="dxa"/>
            <w:right w:w="108" w:type="dxa"/>
          </w:tblCellMar>
        </w:tblPrEx>
        <w:trPr>
          <w:trHeight w:val="291" w:hRule="atLeast"/>
          <w:jc w:val="center"/>
        </w:trPr>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b/>
                <w:bCs/>
                <w:sz w:val="21"/>
                <w:szCs w:val="21"/>
                <w:u w:color="1C654D"/>
              </w:rPr>
            </w:pPr>
            <w:r>
              <w:rPr>
                <w:rFonts w:hint="eastAsia"/>
                <w:b/>
                <w:bCs/>
                <w:sz w:val="21"/>
                <w:szCs w:val="21"/>
                <w:u w:color="1C654D"/>
              </w:rPr>
              <w:t>类别</w:t>
            </w:r>
          </w:p>
        </w:tc>
        <w:tc>
          <w:tcPr>
            <w:tcW w:w="32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b/>
                <w:bCs/>
                <w:sz w:val="21"/>
                <w:szCs w:val="21"/>
                <w:u w:color="1C654D"/>
              </w:rPr>
            </w:pPr>
            <w:r>
              <w:rPr>
                <w:rFonts w:hint="eastAsia"/>
                <w:b/>
                <w:bCs/>
                <w:sz w:val="21"/>
                <w:szCs w:val="21"/>
                <w:u w:color="1C654D"/>
              </w:rPr>
              <w:t>指导要求</w:t>
            </w:r>
          </w:p>
        </w:tc>
        <w:tc>
          <w:tcPr>
            <w:tcW w:w="3730" w:type="dxa"/>
            <w:tcBorders>
              <w:top w:val="single" w:color="auto" w:sz="4" w:space="0"/>
              <w:left w:val="nil"/>
              <w:bottom w:val="single" w:color="auto" w:sz="4" w:space="0"/>
              <w:right w:val="single" w:color="000000" w:sz="4" w:space="0"/>
            </w:tcBorders>
            <w:shd w:val="clear" w:color="auto" w:fill="auto"/>
            <w:vAlign w:val="center"/>
          </w:tcPr>
          <w:p>
            <w:pPr>
              <w:spacing w:line="380" w:lineRule="exact"/>
              <w:jc w:val="center"/>
              <w:rPr>
                <w:b/>
                <w:bCs/>
                <w:sz w:val="21"/>
                <w:szCs w:val="21"/>
                <w:u w:color="1C654D"/>
              </w:rPr>
            </w:pPr>
            <w:r>
              <w:rPr>
                <w:rFonts w:hint="eastAsia"/>
                <w:b/>
                <w:bCs/>
                <w:sz w:val="21"/>
                <w:szCs w:val="21"/>
                <w:u w:color="1C654D"/>
              </w:rPr>
              <w:t>计算标准</w:t>
            </w:r>
          </w:p>
        </w:tc>
      </w:tr>
      <w:tr>
        <w:tblPrEx>
          <w:tblLayout w:type="fixed"/>
          <w:tblCellMar>
            <w:top w:w="0" w:type="dxa"/>
            <w:left w:w="108" w:type="dxa"/>
            <w:bottom w:w="0" w:type="dxa"/>
            <w:right w:w="108" w:type="dxa"/>
          </w:tblCellMar>
        </w:tblPrEx>
        <w:trPr>
          <w:trHeight w:val="762" w:hRule="atLeast"/>
          <w:jc w:val="center"/>
        </w:trPr>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rPr>
                <w:sz w:val="21"/>
                <w:szCs w:val="21"/>
                <w:u w:color="1C654D"/>
              </w:rPr>
            </w:pPr>
            <w:r>
              <w:rPr>
                <w:rFonts w:hint="eastAsia"/>
                <w:sz w:val="21"/>
                <w:szCs w:val="21"/>
                <w:u w:color="1C654D"/>
              </w:rPr>
              <w:t>教师固定时间、地点跟班指导，以班为单位集中开展的实践课程</w:t>
            </w:r>
          </w:p>
        </w:tc>
        <w:tc>
          <w:tcPr>
            <w:tcW w:w="32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rPr>
                <w:sz w:val="21"/>
                <w:szCs w:val="21"/>
                <w:u w:color="1C654D"/>
              </w:rPr>
            </w:pPr>
            <w:r>
              <w:rPr>
                <w:rFonts w:hint="eastAsia"/>
                <w:sz w:val="21"/>
                <w:szCs w:val="21"/>
                <w:u w:color="1C654D"/>
              </w:rPr>
              <w:t>教师需在实验室（机房）现场讲授、指导，学时数以人才培养方案及大纲规定为准，1学分一般对应8、16、24、32四个学时标准。</w:t>
            </w:r>
          </w:p>
        </w:tc>
        <w:tc>
          <w:tcPr>
            <w:tcW w:w="3730" w:type="dxa"/>
            <w:tcBorders>
              <w:top w:val="single" w:color="auto" w:sz="4" w:space="0"/>
              <w:left w:val="nil"/>
              <w:bottom w:val="single" w:color="auto" w:sz="4" w:space="0"/>
              <w:right w:val="single" w:color="000000" w:sz="4" w:space="0"/>
            </w:tcBorders>
            <w:shd w:val="clear" w:color="auto" w:fill="auto"/>
            <w:vAlign w:val="center"/>
          </w:tcPr>
          <w:p>
            <w:pPr>
              <w:spacing w:line="380" w:lineRule="exact"/>
              <w:rPr>
                <w:sz w:val="21"/>
                <w:szCs w:val="21"/>
                <w:u w:color="1C654D"/>
              </w:rPr>
            </w:pPr>
            <w:r>
              <w:rPr>
                <w:rFonts w:hint="eastAsia"/>
                <w:sz w:val="21"/>
                <w:szCs w:val="21"/>
                <w:u w:color="1C654D"/>
              </w:rPr>
              <w:t>标准学时数=指导学时数×人数系数</w:t>
            </w:r>
          </w:p>
        </w:tc>
      </w:tr>
      <w:tr>
        <w:tblPrEx>
          <w:tblLayout w:type="fixed"/>
          <w:tblCellMar>
            <w:top w:w="0" w:type="dxa"/>
            <w:left w:w="108" w:type="dxa"/>
            <w:bottom w:w="0" w:type="dxa"/>
            <w:right w:w="108" w:type="dxa"/>
          </w:tblCellMar>
        </w:tblPrEx>
        <w:trPr>
          <w:trHeight w:val="762" w:hRule="atLeast"/>
          <w:jc w:val="center"/>
        </w:trPr>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rPr>
                <w:sz w:val="21"/>
                <w:szCs w:val="21"/>
                <w:u w:color="1C654D"/>
              </w:rPr>
            </w:pPr>
            <w:r>
              <w:rPr>
                <w:rFonts w:hint="eastAsia"/>
                <w:sz w:val="21"/>
                <w:szCs w:val="21"/>
                <w:u w:color="1C654D"/>
              </w:rPr>
              <w:t>教师以班为单位集中指导，学生分散实践的实践课程</w:t>
            </w:r>
          </w:p>
        </w:tc>
        <w:tc>
          <w:tcPr>
            <w:tcW w:w="32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rPr>
                <w:sz w:val="21"/>
                <w:szCs w:val="21"/>
                <w:u w:color="1C654D"/>
              </w:rPr>
            </w:pPr>
            <w:r>
              <w:rPr>
                <w:rFonts w:hint="eastAsia"/>
                <w:sz w:val="21"/>
                <w:szCs w:val="21"/>
                <w:u w:color="1C654D"/>
              </w:rPr>
              <w:t>教师需一周至少集中指导2次，每次2学时</w:t>
            </w:r>
          </w:p>
        </w:tc>
        <w:tc>
          <w:tcPr>
            <w:tcW w:w="3730" w:type="dxa"/>
            <w:tcBorders>
              <w:top w:val="single" w:color="auto" w:sz="4" w:space="0"/>
              <w:left w:val="nil"/>
              <w:bottom w:val="single" w:color="auto" w:sz="4" w:space="0"/>
              <w:right w:val="single" w:color="000000" w:sz="4" w:space="0"/>
            </w:tcBorders>
            <w:shd w:val="clear" w:color="auto" w:fill="auto"/>
            <w:vAlign w:val="center"/>
          </w:tcPr>
          <w:p>
            <w:pPr>
              <w:spacing w:line="380" w:lineRule="exact"/>
              <w:rPr>
                <w:sz w:val="21"/>
                <w:szCs w:val="21"/>
                <w:u w:color="1C654D"/>
              </w:rPr>
            </w:pPr>
            <w:r>
              <w:rPr>
                <w:rFonts w:hint="eastAsia"/>
                <w:sz w:val="21"/>
                <w:szCs w:val="21"/>
                <w:u w:color="1C654D"/>
              </w:rPr>
              <w:t>标准学时数=10×周数×人数系数</w:t>
            </w:r>
          </w:p>
        </w:tc>
      </w:tr>
      <w:tr>
        <w:tblPrEx>
          <w:tblLayout w:type="fixed"/>
          <w:tblCellMar>
            <w:top w:w="0" w:type="dxa"/>
            <w:left w:w="108" w:type="dxa"/>
            <w:bottom w:w="0" w:type="dxa"/>
            <w:right w:w="108" w:type="dxa"/>
          </w:tblCellMar>
        </w:tblPrEx>
        <w:trPr>
          <w:trHeight w:val="762" w:hRule="atLeast"/>
          <w:jc w:val="center"/>
        </w:trPr>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rPr>
                <w:sz w:val="21"/>
                <w:szCs w:val="21"/>
                <w:u w:color="1C654D"/>
              </w:rPr>
            </w:pPr>
            <w:r>
              <w:rPr>
                <w:rFonts w:hint="eastAsia"/>
                <w:sz w:val="21"/>
                <w:szCs w:val="21"/>
                <w:u w:color="1C654D"/>
              </w:rPr>
              <w:t>指导学年论文</w:t>
            </w:r>
          </w:p>
          <w:p>
            <w:pPr>
              <w:spacing w:line="380" w:lineRule="exact"/>
              <w:rPr>
                <w:sz w:val="21"/>
                <w:szCs w:val="21"/>
                <w:u w:color="1C654D"/>
              </w:rPr>
            </w:pPr>
            <w:r>
              <w:rPr>
                <w:rFonts w:hint="eastAsia"/>
                <w:sz w:val="21"/>
                <w:szCs w:val="21"/>
                <w:u w:color="1C654D"/>
              </w:rPr>
              <w:t>指导课程论文</w:t>
            </w:r>
          </w:p>
          <w:p>
            <w:pPr>
              <w:spacing w:line="380" w:lineRule="exact"/>
              <w:rPr>
                <w:sz w:val="21"/>
                <w:szCs w:val="21"/>
                <w:u w:color="1C654D"/>
              </w:rPr>
            </w:pPr>
            <w:r>
              <w:rPr>
                <w:rFonts w:hint="eastAsia"/>
                <w:sz w:val="21"/>
                <w:szCs w:val="21"/>
                <w:u w:color="1C654D"/>
              </w:rPr>
              <w:t>指导社会调查</w:t>
            </w:r>
          </w:p>
          <w:p>
            <w:pPr>
              <w:spacing w:line="380" w:lineRule="exact"/>
              <w:rPr>
                <w:sz w:val="21"/>
                <w:szCs w:val="21"/>
                <w:u w:color="1C654D"/>
              </w:rPr>
            </w:pPr>
            <w:r>
              <w:rPr>
                <w:rFonts w:hint="eastAsia"/>
                <w:sz w:val="21"/>
                <w:szCs w:val="21"/>
                <w:u w:color="1C654D"/>
              </w:rPr>
              <w:t>指导文科课程设计</w:t>
            </w:r>
          </w:p>
        </w:tc>
        <w:tc>
          <w:tcPr>
            <w:tcW w:w="32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rPr>
                <w:sz w:val="21"/>
                <w:szCs w:val="21"/>
                <w:highlight w:val="yellow"/>
                <w:u w:color="1C654D"/>
              </w:rPr>
            </w:pPr>
            <w:r>
              <w:rPr>
                <w:rFonts w:hint="eastAsia"/>
                <w:sz w:val="21"/>
                <w:szCs w:val="21"/>
                <w:u w:color="1C654D"/>
              </w:rPr>
              <w:t xml:space="preserve">以班为单位指导，教师需集中开展不少于3次的布置、指导、总结等工作，每次2学时。 </w:t>
            </w:r>
          </w:p>
        </w:tc>
        <w:tc>
          <w:tcPr>
            <w:tcW w:w="3730" w:type="dxa"/>
            <w:tcBorders>
              <w:top w:val="single" w:color="auto" w:sz="4" w:space="0"/>
              <w:left w:val="nil"/>
              <w:bottom w:val="single" w:color="auto" w:sz="4" w:space="0"/>
              <w:right w:val="single" w:color="000000" w:sz="4" w:space="0"/>
            </w:tcBorders>
            <w:shd w:val="clear" w:color="auto" w:fill="auto"/>
            <w:vAlign w:val="center"/>
          </w:tcPr>
          <w:p>
            <w:pPr>
              <w:spacing w:line="380" w:lineRule="exact"/>
              <w:rPr>
                <w:bCs/>
                <w:sz w:val="21"/>
                <w:szCs w:val="21"/>
                <w:u w:color="1C654D"/>
              </w:rPr>
            </w:pPr>
            <w:r>
              <w:rPr>
                <w:rFonts w:hint="eastAsia"/>
                <w:sz w:val="21"/>
                <w:szCs w:val="21"/>
                <w:u w:color="1C654D"/>
              </w:rPr>
              <w:t>（1）一位教师一次指导</w:t>
            </w:r>
            <w:r>
              <w:rPr>
                <w:rFonts w:hint="eastAsia"/>
                <w:bCs/>
                <w:sz w:val="21"/>
                <w:szCs w:val="21"/>
                <w:u w:color="1C654D"/>
              </w:rPr>
              <w:t>1个行政班或合班人数不超过50人：</w:t>
            </w:r>
            <w:r>
              <w:rPr>
                <w:rFonts w:hint="eastAsia"/>
                <w:sz w:val="21"/>
                <w:szCs w:val="21"/>
                <w:u w:color="1C654D"/>
              </w:rPr>
              <w:t>标准学时数=人数×0.4</w:t>
            </w:r>
          </w:p>
          <w:p>
            <w:pPr>
              <w:spacing w:line="380" w:lineRule="exact"/>
              <w:rPr>
                <w:sz w:val="21"/>
                <w:szCs w:val="21"/>
                <w:u w:color="1C654D"/>
              </w:rPr>
            </w:pPr>
            <w:r>
              <w:rPr>
                <w:rFonts w:hint="eastAsia"/>
                <w:sz w:val="21"/>
                <w:szCs w:val="21"/>
                <w:u w:color="1C654D"/>
              </w:rPr>
              <w:t>（2）一位教师一次指导</w:t>
            </w:r>
            <w:r>
              <w:rPr>
                <w:rFonts w:hint="eastAsia"/>
                <w:bCs/>
                <w:sz w:val="21"/>
                <w:szCs w:val="21"/>
                <w:u w:color="1C654D"/>
              </w:rPr>
              <w:t>1个以上行政班且人数超过50人：</w:t>
            </w:r>
            <w:r>
              <w:rPr>
                <w:rFonts w:hint="eastAsia"/>
                <w:sz w:val="21"/>
                <w:szCs w:val="21"/>
                <w:u w:color="1C654D"/>
              </w:rPr>
              <w:t>标准学时数=人数×0.3</w:t>
            </w:r>
          </w:p>
        </w:tc>
      </w:tr>
      <w:tr>
        <w:tblPrEx>
          <w:tblLayout w:type="fixed"/>
          <w:tblCellMar>
            <w:top w:w="0" w:type="dxa"/>
            <w:left w:w="108" w:type="dxa"/>
            <w:bottom w:w="0" w:type="dxa"/>
            <w:right w:w="108" w:type="dxa"/>
          </w:tblCellMar>
        </w:tblPrEx>
        <w:trPr>
          <w:trHeight w:val="1538" w:hRule="atLeast"/>
          <w:jc w:val="center"/>
        </w:trPr>
        <w:tc>
          <w:tcPr>
            <w:tcW w:w="96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rPr>
                <w:sz w:val="21"/>
                <w:szCs w:val="21"/>
                <w:u w:color="1C654D"/>
              </w:rPr>
            </w:pPr>
            <w:r>
              <w:rPr>
                <w:rFonts w:hint="eastAsia"/>
                <w:sz w:val="21"/>
                <w:szCs w:val="21"/>
                <w:u w:color="1C654D"/>
              </w:rPr>
              <w:t>说明：</w:t>
            </w:r>
          </w:p>
          <w:p>
            <w:pPr>
              <w:spacing w:line="380" w:lineRule="exact"/>
              <w:rPr>
                <w:sz w:val="21"/>
                <w:szCs w:val="21"/>
                <w:u w:color="1C654D"/>
              </w:rPr>
            </w:pPr>
            <w:r>
              <w:rPr>
                <w:rFonts w:hint="eastAsia"/>
                <w:sz w:val="21"/>
                <w:szCs w:val="21"/>
                <w:u w:color="1C654D"/>
              </w:rPr>
              <w:t>1.教师固定时间、地点跟班指导，以班为单位集中开展的实践课程：（1）需以班为单位集中进行，并于课前提交课程安排表（含时间、地点、教师）至教务处备案，并严格按此执行，如调整按调课手续办理。（2）一位教师同一时间指导最多为两个行政班，超过的按其中人数居多的两个班计算，人数系数的计算方法与理论课相同。</w:t>
            </w:r>
          </w:p>
          <w:p>
            <w:pPr>
              <w:spacing w:line="380" w:lineRule="exact"/>
              <w:rPr>
                <w:sz w:val="21"/>
                <w:szCs w:val="21"/>
                <w:u w:color="1C654D"/>
              </w:rPr>
            </w:pPr>
            <w:r>
              <w:rPr>
                <w:rFonts w:hint="eastAsia"/>
                <w:sz w:val="21"/>
                <w:szCs w:val="21"/>
                <w:u w:color="1C654D"/>
              </w:rPr>
              <w:t>2.教师以班为单位集中指导，学生分散实践的实践课程：（1）需将集中指导的时间、地点、教师报教务处备案，并严格按此执行，如调整按调课手续办理。（2）一位教师同一时间指导最多为两个行政班，超过的按其中人数居多的两个班计算，人数系数的计算方法与理论课相同。</w:t>
            </w:r>
          </w:p>
          <w:p>
            <w:pPr>
              <w:spacing w:line="380" w:lineRule="exact"/>
              <w:rPr>
                <w:sz w:val="21"/>
                <w:szCs w:val="21"/>
                <w:u w:color="1C654D"/>
              </w:rPr>
            </w:pPr>
            <w:r>
              <w:rPr>
                <w:rFonts w:hint="eastAsia"/>
                <w:sz w:val="21"/>
                <w:szCs w:val="21"/>
                <w:u w:color="1C654D"/>
              </w:rPr>
              <w:t>3.教师指导学年论文、课程论文、社会调查、文科课程设计：（1）需将以班为单位集中开展布置、指导、总结工作的时间、地点、教师报教务处备案，并严格按此执行，如调整按调课手续办理。（2）一门课一位教师同一时间指导最多为两个行政班，超过的按其中人数居多的两个班计算。</w:t>
            </w:r>
          </w:p>
        </w:tc>
      </w:tr>
    </w:tbl>
    <w:p>
      <w:pPr>
        <w:spacing w:line="540" w:lineRule="exact"/>
        <w:ind w:firstLine="420" w:firstLineChars="200"/>
        <w:rPr>
          <w:rFonts w:ascii="仿宋_GB2312" w:eastAsia="仿宋_GB2312"/>
          <w:sz w:val="21"/>
          <w:szCs w:val="21"/>
          <w:u w:color="1C654D"/>
        </w:rPr>
      </w:pPr>
      <w:r>
        <w:rPr>
          <w:rFonts w:hint="eastAsia" w:ascii="仿宋_GB2312" w:eastAsia="仿宋_GB2312"/>
          <w:sz w:val="21"/>
          <w:szCs w:val="21"/>
          <w:u w:color="1C654D"/>
        </w:rPr>
        <w:t>2</w:t>
      </w:r>
      <w:r>
        <w:rPr>
          <w:rFonts w:hint="eastAsia" w:ascii="仿宋_GB2312" w:eastAsia="仿宋_GB2312"/>
          <w:sz w:val="21"/>
          <w:szCs w:val="21"/>
        </w:rPr>
        <w:t>.</w:t>
      </w:r>
      <w:r>
        <w:rPr>
          <w:rFonts w:hint="eastAsia" w:ascii="仿宋_GB2312" w:eastAsia="仿宋_GB2312"/>
          <w:sz w:val="21"/>
          <w:szCs w:val="21"/>
          <w:u w:color="1C654D"/>
        </w:rPr>
        <w:t>校外实习</w:t>
      </w:r>
    </w:p>
    <w:p>
      <w:pPr>
        <w:spacing w:line="540" w:lineRule="exact"/>
        <w:ind w:firstLine="420" w:firstLineChars="200"/>
        <w:jc w:val="both"/>
        <w:rPr>
          <w:rFonts w:ascii="仿宋_GB2312" w:eastAsia="仿宋_GB2312"/>
          <w:sz w:val="21"/>
          <w:szCs w:val="21"/>
        </w:rPr>
      </w:pPr>
      <w:r>
        <w:rPr>
          <w:rFonts w:hint="eastAsia" w:ascii="仿宋_GB2312" w:eastAsia="仿宋_GB2312"/>
          <w:sz w:val="21"/>
          <w:szCs w:val="21"/>
          <w:u w:color="1C654D"/>
        </w:rPr>
        <w:t>教师下现场带实习（含认知实习、生产实习、专业实习等）</w:t>
      </w:r>
      <w:r>
        <w:rPr>
          <w:rFonts w:hint="eastAsia" w:ascii="仿宋_GB2312" w:eastAsia="仿宋_GB2312"/>
          <w:sz w:val="21"/>
          <w:szCs w:val="21"/>
        </w:rPr>
        <w:t>。</w:t>
      </w:r>
    </w:p>
    <w:tbl>
      <w:tblPr>
        <w:tblStyle w:val="9"/>
        <w:tblW w:w="9451" w:type="dxa"/>
        <w:jc w:val="center"/>
        <w:tblInd w:w="0" w:type="dxa"/>
        <w:tblLayout w:type="fixed"/>
        <w:tblCellMar>
          <w:top w:w="0" w:type="dxa"/>
          <w:left w:w="108" w:type="dxa"/>
          <w:bottom w:w="0" w:type="dxa"/>
          <w:right w:w="108" w:type="dxa"/>
        </w:tblCellMar>
      </w:tblPr>
      <w:tblGrid>
        <w:gridCol w:w="1999"/>
        <w:gridCol w:w="2586"/>
        <w:gridCol w:w="4866"/>
      </w:tblGrid>
      <w:tr>
        <w:tblPrEx>
          <w:tblLayout w:type="fixed"/>
          <w:tblCellMar>
            <w:top w:w="0" w:type="dxa"/>
            <w:left w:w="108" w:type="dxa"/>
            <w:bottom w:w="0" w:type="dxa"/>
            <w:right w:w="108" w:type="dxa"/>
          </w:tblCellMar>
        </w:tblPrEx>
        <w:trPr>
          <w:trHeight w:val="415" w:hRule="atLeast"/>
          <w:jc w:val="center"/>
        </w:trPr>
        <w:tc>
          <w:tcPr>
            <w:tcW w:w="19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b/>
                <w:bCs/>
                <w:sz w:val="21"/>
                <w:szCs w:val="21"/>
                <w:u w:color="1C654D"/>
              </w:rPr>
            </w:pPr>
            <w:r>
              <w:rPr>
                <w:rFonts w:hint="eastAsia"/>
                <w:b/>
                <w:bCs/>
                <w:sz w:val="21"/>
                <w:szCs w:val="21"/>
                <w:u w:color="1C654D"/>
              </w:rPr>
              <w:t>类别</w:t>
            </w:r>
          </w:p>
        </w:tc>
        <w:tc>
          <w:tcPr>
            <w:tcW w:w="2586"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b/>
                <w:bCs/>
                <w:sz w:val="21"/>
                <w:szCs w:val="21"/>
                <w:u w:color="1C654D"/>
              </w:rPr>
            </w:pPr>
            <w:r>
              <w:rPr>
                <w:rFonts w:hint="eastAsia"/>
                <w:b/>
                <w:bCs/>
                <w:sz w:val="21"/>
                <w:szCs w:val="21"/>
                <w:u w:color="1C654D"/>
              </w:rPr>
              <w:t>计算标准</w:t>
            </w:r>
          </w:p>
        </w:tc>
        <w:tc>
          <w:tcPr>
            <w:tcW w:w="4866"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b/>
                <w:bCs/>
                <w:sz w:val="21"/>
                <w:szCs w:val="21"/>
                <w:u w:color="1C654D"/>
              </w:rPr>
            </w:pPr>
            <w:r>
              <w:rPr>
                <w:rFonts w:hint="eastAsia"/>
                <w:b/>
                <w:bCs/>
                <w:sz w:val="21"/>
                <w:szCs w:val="21"/>
                <w:u w:color="1C654D"/>
              </w:rPr>
              <w:t>说明</w:t>
            </w:r>
          </w:p>
        </w:tc>
      </w:tr>
      <w:tr>
        <w:tblPrEx>
          <w:tblLayout w:type="fixed"/>
          <w:tblCellMar>
            <w:top w:w="0" w:type="dxa"/>
            <w:left w:w="108" w:type="dxa"/>
            <w:bottom w:w="0" w:type="dxa"/>
            <w:right w:w="108" w:type="dxa"/>
          </w:tblCellMar>
        </w:tblPrEx>
        <w:trPr>
          <w:trHeight w:val="540" w:hRule="atLeast"/>
          <w:jc w:val="center"/>
        </w:trPr>
        <w:tc>
          <w:tcPr>
            <w:tcW w:w="1999" w:type="dxa"/>
            <w:tcBorders>
              <w:top w:val="nil"/>
              <w:left w:val="single" w:color="auto" w:sz="4" w:space="0"/>
              <w:bottom w:val="single" w:color="auto" w:sz="4" w:space="0"/>
              <w:right w:val="single" w:color="auto" w:sz="4" w:space="0"/>
            </w:tcBorders>
            <w:shd w:val="clear" w:color="auto" w:fill="auto"/>
            <w:vAlign w:val="center"/>
          </w:tcPr>
          <w:p>
            <w:pPr>
              <w:pStyle w:val="7"/>
              <w:spacing w:before="0" w:beforeAutospacing="0" w:after="0" w:afterAutospacing="0" w:line="320" w:lineRule="exact"/>
              <w:jc w:val="center"/>
              <w:rPr>
                <w:rFonts w:ascii="Times New Roman"/>
                <w:color w:val="000000"/>
                <w:sz w:val="21"/>
                <w:szCs w:val="21"/>
              </w:rPr>
            </w:pPr>
            <w:r>
              <w:rPr>
                <w:rFonts w:hint="eastAsia" w:ascii="Times New Roman"/>
                <w:color w:val="000000"/>
                <w:sz w:val="21"/>
                <w:szCs w:val="21"/>
              </w:rPr>
              <w:t>按行政班</w:t>
            </w:r>
          </w:p>
          <w:p>
            <w:pPr>
              <w:pStyle w:val="7"/>
              <w:spacing w:before="0" w:beforeAutospacing="0" w:after="0" w:afterAutospacing="0" w:line="320" w:lineRule="exact"/>
              <w:jc w:val="center"/>
              <w:rPr>
                <w:rFonts w:ascii="Arial" w:hAnsi="Arial" w:cs="Arial"/>
                <w:sz w:val="21"/>
                <w:szCs w:val="21"/>
              </w:rPr>
            </w:pPr>
            <w:r>
              <w:rPr>
                <w:rFonts w:hint="eastAsia" w:ascii="Times New Roman"/>
                <w:color w:val="000000"/>
                <w:sz w:val="21"/>
                <w:szCs w:val="21"/>
              </w:rPr>
              <w:t>集中指导实习</w:t>
            </w:r>
          </w:p>
        </w:tc>
        <w:tc>
          <w:tcPr>
            <w:tcW w:w="2586" w:type="dxa"/>
            <w:tcBorders>
              <w:top w:val="nil"/>
              <w:left w:val="nil"/>
              <w:bottom w:val="single" w:color="auto" w:sz="4" w:space="0"/>
              <w:right w:val="single" w:color="000000" w:sz="4" w:space="0"/>
            </w:tcBorders>
            <w:shd w:val="clear" w:color="auto" w:fill="auto"/>
            <w:vAlign w:val="center"/>
          </w:tcPr>
          <w:p>
            <w:pPr>
              <w:pStyle w:val="7"/>
              <w:spacing w:before="0" w:beforeAutospacing="0" w:after="0" w:afterAutospacing="0" w:line="320" w:lineRule="exact"/>
              <w:rPr>
                <w:rFonts w:ascii="Arial" w:hAnsi="Arial" w:cs="Arial"/>
                <w:sz w:val="21"/>
                <w:szCs w:val="21"/>
              </w:rPr>
            </w:pPr>
            <w:r>
              <w:rPr>
                <w:rFonts w:hint="eastAsia" w:ascii="Times New Roman"/>
                <w:color w:val="000000"/>
                <w:sz w:val="21"/>
                <w:szCs w:val="21"/>
              </w:rPr>
              <w:t>每位指导老师计：</w:t>
            </w:r>
          </w:p>
          <w:p>
            <w:pPr>
              <w:pStyle w:val="7"/>
              <w:spacing w:before="0" w:beforeAutospacing="0" w:after="0" w:afterAutospacing="0" w:line="320" w:lineRule="exact"/>
              <w:rPr>
                <w:rFonts w:ascii="Arial" w:hAnsi="Arial" w:cs="Arial"/>
                <w:sz w:val="21"/>
                <w:szCs w:val="21"/>
              </w:rPr>
            </w:pPr>
            <w:r>
              <w:rPr>
                <w:rFonts w:hint="eastAsia" w:ascii="Times New Roman"/>
                <w:color w:val="000000"/>
                <w:sz w:val="21"/>
                <w:szCs w:val="21"/>
              </w:rPr>
              <w:t>标准学时数</w:t>
            </w:r>
            <w:r>
              <w:rPr>
                <w:rFonts w:ascii="Times New Roman" w:hAnsi="Times New Roman"/>
                <w:color w:val="000000"/>
                <w:sz w:val="21"/>
                <w:szCs w:val="21"/>
              </w:rPr>
              <w:t>=</w:t>
            </w:r>
            <w:r>
              <w:rPr>
                <w:rFonts w:hint="eastAsia" w:ascii="Times New Roman"/>
                <w:color w:val="000000"/>
                <w:sz w:val="21"/>
                <w:szCs w:val="21"/>
              </w:rPr>
              <w:t>周数×</w:t>
            </w:r>
            <w:r>
              <w:rPr>
                <w:rFonts w:ascii="Times New Roman" w:hAnsi="Times New Roman"/>
                <w:color w:val="000000"/>
                <w:sz w:val="21"/>
                <w:szCs w:val="21"/>
              </w:rPr>
              <w:t>16</w:t>
            </w:r>
          </w:p>
        </w:tc>
        <w:tc>
          <w:tcPr>
            <w:tcW w:w="4866" w:type="dxa"/>
            <w:tcBorders>
              <w:top w:val="nil"/>
              <w:left w:val="nil"/>
              <w:bottom w:val="single" w:color="auto" w:sz="4" w:space="0"/>
              <w:right w:val="single" w:color="000000" w:sz="4" w:space="0"/>
            </w:tcBorders>
            <w:shd w:val="clear" w:color="auto" w:fill="auto"/>
            <w:vAlign w:val="center"/>
          </w:tcPr>
          <w:p>
            <w:pPr>
              <w:pStyle w:val="7"/>
              <w:spacing w:before="0" w:beforeAutospacing="0" w:after="0" w:afterAutospacing="0" w:line="320" w:lineRule="exact"/>
              <w:jc w:val="both"/>
              <w:rPr>
                <w:rFonts w:ascii="Arial" w:hAnsi="Arial" w:cs="Arial"/>
                <w:sz w:val="21"/>
                <w:szCs w:val="21"/>
              </w:rPr>
            </w:pPr>
            <w:r>
              <w:rPr>
                <w:rFonts w:hint="eastAsia" w:ascii="Times New Roman"/>
                <w:color w:val="000000"/>
                <w:sz w:val="21"/>
                <w:szCs w:val="21"/>
              </w:rPr>
              <w:t>（</w:t>
            </w:r>
            <w:r>
              <w:rPr>
                <w:rFonts w:ascii="Times New Roman" w:hAnsi="Times New Roman"/>
                <w:color w:val="000000"/>
                <w:sz w:val="21"/>
                <w:szCs w:val="21"/>
              </w:rPr>
              <w:t>1</w:t>
            </w:r>
            <w:r>
              <w:rPr>
                <w:rFonts w:hint="eastAsia" w:ascii="Times New Roman"/>
                <w:color w:val="000000"/>
                <w:sz w:val="21"/>
                <w:szCs w:val="21"/>
              </w:rPr>
              <w:t>）班级人数小于等于</w:t>
            </w:r>
            <w:r>
              <w:rPr>
                <w:rFonts w:ascii="Times New Roman" w:hAnsi="Times New Roman"/>
                <w:color w:val="000000"/>
                <w:sz w:val="21"/>
                <w:szCs w:val="21"/>
              </w:rPr>
              <w:t>30</w:t>
            </w:r>
            <w:r>
              <w:rPr>
                <w:rFonts w:hint="eastAsia" w:ascii="Times New Roman"/>
                <w:color w:val="000000"/>
                <w:sz w:val="21"/>
                <w:szCs w:val="21"/>
              </w:rPr>
              <w:t>人的，安排</w:t>
            </w:r>
            <w:r>
              <w:rPr>
                <w:rFonts w:ascii="Times New Roman" w:hAnsi="Times New Roman"/>
                <w:color w:val="000000"/>
                <w:sz w:val="21"/>
                <w:szCs w:val="21"/>
              </w:rPr>
              <w:t>1</w:t>
            </w:r>
            <w:r>
              <w:rPr>
                <w:rFonts w:hint="eastAsia" w:ascii="Times New Roman"/>
                <w:color w:val="000000"/>
                <w:sz w:val="21"/>
                <w:szCs w:val="21"/>
              </w:rPr>
              <w:t>名指导老师。</w:t>
            </w:r>
          </w:p>
          <w:p>
            <w:pPr>
              <w:pStyle w:val="7"/>
              <w:spacing w:before="0" w:beforeAutospacing="0" w:after="0" w:afterAutospacing="0" w:line="320" w:lineRule="exact"/>
              <w:jc w:val="both"/>
              <w:rPr>
                <w:rFonts w:ascii="Arial" w:hAnsi="Arial" w:cs="Arial"/>
                <w:sz w:val="21"/>
                <w:szCs w:val="21"/>
              </w:rPr>
            </w:pPr>
            <w:r>
              <w:rPr>
                <w:rFonts w:hint="eastAsia" w:ascii="Times New Roman"/>
                <w:color w:val="000000"/>
                <w:sz w:val="21"/>
                <w:szCs w:val="21"/>
              </w:rPr>
              <w:t>（</w:t>
            </w:r>
            <w:r>
              <w:rPr>
                <w:rFonts w:ascii="Times New Roman" w:hAnsi="Times New Roman"/>
                <w:color w:val="000000"/>
                <w:sz w:val="21"/>
                <w:szCs w:val="21"/>
              </w:rPr>
              <w:t>2</w:t>
            </w:r>
            <w:r>
              <w:rPr>
                <w:rFonts w:hint="eastAsia" w:ascii="Times New Roman"/>
                <w:color w:val="000000"/>
                <w:sz w:val="21"/>
                <w:szCs w:val="21"/>
              </w:rPr>
              <w:t>）班级人数大于</w:t>
            </w:r>
            <w:r>
              <w:rPr>
                <w:rFonts w:ascii="Times New Roman" w:hAnsi="Times New Roman"/>
                <w:color w:val="000000"/>
                <w:sz w:val="21"/>
                <w:szCs w:val="21"/>
              </w:rPr>
              <w:t>30</w:t>
            </w:r>
            <w:r>
              <w:rPr>
                <w:rFonts w:hint="eastAsia" w:ascii="Times New Roman"/>
                <w:color w:val="000000"/>
                <w:sz w:val="21"/>
                <w:szCs w:val="21"/>
              </w:rPr>
              <w:t>人的，一个行政班级最多安排</w:t>
            </w:r>
            <w:r>
              <w:rPr>
                <w:rFonts w:ascii="Times New Roman" w:hAnsi="Times New Roman"/>
                <w:color w:val="000000"/>
                <w:sz w:val="21"/>
                <w:szCs w:val="21"/>
              </w:rPr>
              <w:t>2</w:t>
            </w:r>
            <w:r>
              <w:rPr>
                <w:rFonts w:hint="eastAsia" w:ascii="Times New Roman"/>
                <w:color w:val="000000"/>
                <w:sz w:val="21"/>
                <w:szCs w:val="21"/>
              </w:rPr>
              <w:t>名指导教师。</w:t>
            </w:r>
          </w:p>
        </w:tc>
      </w:tr>
      <w:tr>
        <w:tblPrEx>
          <w:tblLayout w:type="fixed"/>
          <w:tblCellMar>
            <w:top w:w="0" w:type="dxa"/>
            <w:left w:w="108" w:type="dxa"/>
            <w:bottom w:w="0" w:type="dxa"/>
            <w:right w:w="108" w:type="dxa"/>
          </w:tblCellMar>
        </w:tblPrEx>
        <w:trPr>
          <w:trHeight w:val="1670" w:hRule="atLeast"/>
          <w:jc w:val="center"/>
        </w:trPr>
        <w:tc>
          <w:tcPr>
            <w:tcW w:w="19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before="0" w:beforeAutospacing="0" w:after="0" w:afterAutospacing="0" w:line="320" w:lineRule="exact"/>
              <w:jc w:val="center"/>
              <w:rPr>
                <w:rFonts w:ascii="Times New Roman"/>
                <w:color w:val="000000"/>
                <w:sz w:val="21"/>
                <w:szCs w:val="21"/>
              </w:rPr>
            </w:pPr>
            <w:r>
              <w:rPr>
                <w:rFonts w:hint="eastAsia" w:ascii="Times New Roman"/>
                <w:color w:val="000000"/>
                <w:sz w:val="21"/>
                <w:szCs w:val="21"/>
              </w:rPr>
              <w:t>学生自行联系</w:t>
            </w:r>
          </w:p>
          <w:p>
            <w:pPr>
              <w:pStyle w:val="7"/>
              <w:spacing w:before="0" w:beforeAutospacing="0" w:after="0" w:afterAutospacing="0" w:line="320" w:lineRule="exact"/>
              <w:jc w:val="center"/>
              <w:rPr>
                <w:rFonts w:ascii="Arial" w:hAnsi="Arial" w:cs="Arial"/>
                <w:sz w:val="21"/>
                <w:szCs w:val="21"/>
              </w:rPr>
            </w:pPr>
            <w:r>
              <w:rPr>
                <w:rFonts w:hint="eastAsia" w:ascii="Times New Roman"/>
                <w:color w:val="000000"/>
                <w:sz w:val="21"/>
                <w:szCs w:val="21"/>
              </w:rPr>
              <w:t>实习岗位分散实习及“思想政治理论课”</w:t>
            </w:r>
            <w:r>
              <w:rPr>
                <w:rFonts w:ascii="Times New Roman" w:hAnsi="Times New Roman"/>
                <w:color w:val="000000"/>
                <w:sz w:val="21"/>
                <w:szCs w:val="21"/>
              </w:rPr>
              <w:t>社会实践</w:t>
            </w:r>
          </w:p>
        </w:tc>
        <w:tc>
          <w:tcPr>
            <w:tcW w:w="25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before="0" w:beforeAutospacing="0" w:after="0" w:afterAutospacing="0" w:line="320" w:lineRule="exact"/>
              <w:jc w:val="both"/>
              <w:rPr>
                <w:rFonts w:ascii="Arial" w:hAnsi="Arial" w:cs="Arial"/>
                <w:sz w:val="21"/>
                <w:szCs w:val="21"/>
              </w:rPr>
            </w:pPr>
            <w:r>
              <w:rPr>
                <w:rFonts w:hint="eastAsia" w:ascii="Times New Roman"/>
                <w:color w:val="000000"/>
                <w:sz w:val="21"/>
                <w:szCs w:val="21"/>
              </w:rPr>
              <w:t>每个行政班计：</w:t>
            </w:r>
          </w:p>
          <w:p>
            <w:pPr>
              <w:pStyle w:val="7"/>
              <w:spacing w:before="0" w:beforeAutospacing="0" w:after="0" w:afterAutospacing="0" w:line="320" w:lineRule="exact"/>
              <w:jc w:val="both"/>
              <w:rPr>
                <w:rFonts w:ascii="Arial" w:hAnsi="Arial" w:cs="Arial"/>
                <w:sz w:val="21"/>
                <w:szCs w:val="21"/>
              </w:rPr>
            </w:pPr>
            <w:r>
              <w:rPr>
                <w:rFonts w:hint="eastAsia" w:ascii="Times New Roman"/>
                <w:color w:val="000000"/>
                <w:sz w:val="21"/>
                <w:szCs w:val="21"/>
              </w:rPr>
              <w:t>标准学时数</w:t>
            </w:r>
            <w:r>
              <w:rPr>
                <w:rFonts w:ascii="Times New Roman" w:hAnsi="Times New Roman"/>
                <w:color w:val="000000"/>
                <w:sz w:val="21"/>
                <w:szCs w:val="21"/>
              </w:rPr>
              <w:t>=</w:t>
            </w:r>
            <w:r>
              <w:rPr>
                <w:rFonts w:hint="eastAsia" w:ascii="Times New Roman"/>
                <w:color w:val="000000"/>
                <w:sz w:val="21"/>
                <w:szCs w:val="21"/>
              </w:rPr>
              <w:t>行政班数×</w:t>
            </w:r>
            <w:r>
              <w:rPr>
                <w:rFonts w:hint="eastAsia" w:ascii="Times New Roman" w:hAnsi="Times New Roman"/>
                <w:color w:val="000000"/>
                <w:sz w:val="21"/>
                <w:szCs w:val="21"/>
              </w:rPr>
              <w:t>3</w:t>
            </w:r>
          </w:p>
        </w:tc>
        <w:tc>
          <w:tcPr>
            <w:tcW w:w="48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before="0" w:beforeAutospacing="0" w:after="0" w:afterAutospacing="0" w:line="320" w:lineRule="exact"/>
              <w:jc w:val="both"/>
              <w:rPr>
                <w:rFonts w:ascii="Arial" w:hAnsi="Arial" w:cs="Arial"/>
                <w:sz w:val="21"/>
                <w:szCs w:val="21"/>
              </w:rPr>
            </w:pPr>
            <w:r>
              <w:rPr>
                <w:rFonts w:hint="eastAsia" w:ascii="Times New Roman"/>
                <w:color w:val="000000"/>
                <w:sz w:val="21"/>
                <w:szCs w:val="21"/>
              </w:rPr>
              <w:t>教师负责实习前准备，实习过程指导与管理，实习后总结等工作。</w:t>
            </w:r>
          </w:p>
        </w:tc>
      </w:tr>
      <w:tr>
        <w:tblPrEx>
          <w:tblLayout w:type="fixed"/>
          <w:tblCellMar>
            <w:top w:w="0" w:type="dxa"/>
            <w:left w:w="108" w:type="dxa"/>
            <w:bottom w:w="0" w:type="dxa"/>
            <w:right w:w="108" w:type="dxa"/>
          </w:tblCellMar>
        </w:tblPrEx>
        <w:trPr>
          <w:trHeight w:val="498" w:hRule="atLeast"/>
          <w:jc w:val="center"/>
        </w:trPr>
        <w:tc>
          <w:tcPr>
            <w:tcW w:w="1999" w:type="dxa"/>
            <w:tcBorders>
              <w:top w:val="nil"/>
              <w:left w:val="single" w:color="auto" w:sz="4" w:space="0"/>
              <w:bottom w:val="single" w:color="auto" w:sz="4" w:space="0"/>
              <w:right w:val="single" w:color="auto" w:sz="4" w:space="0"/>
            </w:tcBorders>
            <w:shd w:val="clear" w:color="auto" w:fill="auto"/>
            <w:vAlign w:val="center"/>
          </w:tcPr>
          <w:p>
            <w:pPr>
              <w:pStyle w:val="7"/>
              <w:spacing w:before="0" w:beforeAutospacing="0" w:after="0" w:afterAutospacing="0" w:line="320" w:lineRule="exact"/>
              <w:jc w:val="center"/>
              <w:rPr>
                <w:rFonts w:ascii="Arial" w:hAnsi="Arial" w:cs="Arial"/>
                <w:sz w:val="21"/>
                <w:szCs w:val="21"/>
              </w:rPr>
            </w:pPr>
            <w:r>
              <w:rPr>
                <w:rFonts w:hint="eastAsia" w:ascii="Times New Roman"/>
                <w:color w:val="000000"/>
                <w:sz w:val="21"/>
                <w:szCs w:val="21"/>
              </w:rPr>
              <w:t>认知实习</w:t>
            </w:r>
          </w:p>
        </w:tc>
        <w:tc>
          <w:tcPr>
            <w:tcW w:w="2586" w:type="dxa"/>
            <w:tcBorders>
              <w:top w:val="nil"/>
              <w:left w:val="nil"/>
              <w:bottom w:val="single" w:color="auto" w:sz="4" w:space="0"/>
              <w:right w:val="single" w:color="000000" w:sz="4" w:space="0"/>
            </w:tcBorders>
            <w:shd w:val="clear" w:color="auto" w:fill="auto"/>
            <w:vAlign w:val="center"/>
          </w:tcPr>
          <w:p>
            <w:pPr>
              <w:pStyle w:val="7"/>
              <w:spacing w:before="0" w:beforeAutospacing="0" w:after="0" w:afterAutospacing="0" w:line="320" w:lineRule="exact"/>
              <w:jc w:val="both"/>
              <w:rPr>
                <w:rFonts w:ascii="Arial" w:hAnsi="Arial" w:cs="Arial"/>
                <w:sz w:val="21"/>
                <w:szCs w:val="21"/>
              </w:rPr>
            </w:pPr>
            <w:r>
              <w:rPr>
                <w:rFonts w:hint="eastAsia" w:ascii="Times New Roman"/>
                <w:color w:val="000000"/>
                <w:sz w:val="21"/>
                <w:szCs w:val="21"/>
              </w:rPr>
              <w:t>标准学时数＝</w:t>
            </w:r>
            <w:r>
              <w:rPr>
                <w:rFonts w:ascii="Times New Roman" w:hAnsi="Times New Roman"/>
                <w:color w:val="000000"/>
                <w:sz w:val="21"/>
                <w:szCs w:val="21"/>
              </w:rPr>
              <w:t>3</w:t>
            </w:r>
            <w:r>
              <w:rPr>
                <w:rFonts w:hint="eastAsia" w:ascii="Times New Roman"/>
                <w:color w:val="000000"/>
                <w:sz w:val="21"/>
                <w:szCs w:val="21"/>
              </w:rPr>
              <w:t>×教师人数×次数</w:t>
            </w:r>
            <w:r>
              <w:rPr>
                <w:rFonts w:ascii="Times New Roman" w:hAnsi="Times New Roman"/>
                <w:color w:val="000000"/>
                <w:sz w:val="21"/>
                <w:szCs w:val="21"/>
              </w:rPr>
              <w:t>+</w:t>
            </w:r>
            <w:r>
              <w:rPr>
                <w:rFonts w:hint="eastAsia" w:ascii="Times New Roman" w:hAnsi="Times New Roman"/>
                <w:color w:val="000000"/>
                <w:sz w:val="21"/>
                <w:szCs w:val="21"/>
              </w:rPr>
              <w:t>3</w:t>
            </w:r>
            <w:r>
              <w:rPr>
                <w:rFonts w:hint="eastAsia" w:ascii="Times New Roman"/>
                <w:color w:val="000000"/>
                <w:sz w:val="21"/>
                <w:szCs w:val="21"/>
              </w:rPr>
              <w:t>×行政班数</w:t>
            </w:r>
          </w:p>
        </w:tc>
        <w:tc>
          <w:tcPr>
            <w:tcW w:w="4866" w:type="dxa"/>
            <w:tcBorders>
              <w:top w:val="single" w:color="auto" w:sz="4" w:space="0"/>
              <w:left w:val="nil"/>
              <w:bottom w:val="single" w:color="auto" w:sz="4" w:space="0"/>
              <w:right w:val="single" w:color="000000" w:sz="4" w:space="0"/>
            </w:tcBorders>
            <w:shd w:val="clear" w:color="auto" w:fill="auto"/>
            <w:vAlign w:val="center"/>
          </w:tcPr>
          <w:p>
            <w:pPr>
              <w:pStyle w:val="7"/>
              <w:spacing w:before="0" w:beforeAutospacing="0" w:after="0" w:afterAutospacing="0" w:line="320" w:lineRule="exact"/>
              <w:jc w:val="both"/>
              <w:rPr>
                <w:rFonts w:ascii="Arial" w:hAnsi="Arial" w:cs="Arial"/>
                <w:sz w:val="21"/>
                <w:szCs w:val="21"/>
              </w:rPr>
            </w:pPr>
            <w:r>
              <w:rPr>
                <w:rFonts w:hint="eastAsia" w:ascii="Times New Roman"/>
                <w:color w:val="000000"/>
                <w:sz w:val="21"/>
                <w:szCs w:val="21"/>
              </w:rPr>
              <w:t>（</w:t>
            </w:r>
            <w:r>
              <w:rPr>
                <w:rFonts w:ascii="Times New Roman" w:hAnsi="Times New Roman"/>
                <w:color w:val="000000"/>
                <w:sz w:val="21"/>
                <w:szCs w:val="21"/>
              </w:rPr>
              <w:t>1</w:t>
            </w:r>
            <w:r>
              <w:rPr>
                <w:rFonts w:hint="eastAsia" w:ascii="Times New Roman"/>
                <w:color w:val="000000"/>
                <w:sz w:val="21"/>
                <w:szCs w:val="21"/>
              </w:rPr>
              <w:t>）班级人数小于等于</w:t>
            </w:r>
            <w:r>
              <w:rPr>
                <w:rFonts w:hint="eastAsia" w:ascii="Times New Roman" w:hAnsi="Times New Roman"/>
                <w:color w:val="000000"/>
                <w:sz w:val="21"/>
                <w:szCs w:val="21"/>
              </w:rPr>
              <w:t>50</w:t>
            </w:r>
            <w:r>
              <w:rPr>
                <w:rFonts w:hint="eastAsia" w:ascii="Times New Roman"/>
                <w:color w:val="000000"/>
                <w:sz w:val="21"/>
                <w:szCs w:val="21"/>
              </w:rPr>
              <w:t>人的，安排</w:t>
            </w:r>
            <w:r>
              <w:rPr>
                <w:rFonts w:ascii="Times New Roman" w:hAnsi="Times New Roman"/>
                <w:color w:val="000000"/>
                <w:sz w:val="21"/>
                <w:szCs w:val="21"/>
              </w:rPr>
              <w:t>1</w:t>
            </w:r>
            <w:r>
              <w:rPr>
                <w:rFonts w:hint="eastAsia" w:ascii="Times New Roman"/>
                <w:color w:val="000000"/>
                <w:sz w:val="21"/>
                <w:szCs w:val="21"/>
              </w:rPr>
              <w:t>名指导老师。</w:t>
            </w:r>
          </w:p>
          <w:p>
            <w:pPr>
              <w:pStyle w:val="7"/>
              <w:spacing w:before="0" w:beforeAutospacing="0" w:after="0" w:afterAutospacing="0" w:line="320" w:lineRule="exact"/>
              <w:jc w:val="both"/>
              <w:rPr>
                <w:rFonts w:ascii="Arial" w:hAnsi="Arial" w:cs="Arial"/>
                <w:sz w:val="21"/>
                <w:szCs w:val="21"/>
              </w:rPr>
            </w:pPr>
            <w:r>
              <w:rPr>
                <w:rFonts w:hint="eastAsia" w:ascii="Times New Roman"/>
                <w:color w:val="000000"/>
                <w:sz w:val="21"/>
                <w:szCs w:val="21"/>
              </w:rPr>
              <w:t>（</w:t>
            </w:r>
            <w:r>
              <w:rPr>
                <w:rFonts w:ascii="Times New Roman" w:hAnsi="Times New Roman"/>
                <w:color w:val="000000"/>
                <w:sz w:val="21"/>
                <w:szCs w:val="21"/>
              </w:rPr>
              <w:t>2</w:t>
            </w:r>
            <w:r>
              <w:rPr>
                <w:rFonts w:hint="eastAsia" w:ascii="Times New Roman"/>
                <w:color w:val="000000"/>
                <w:sz w:val="21"/>
                <w:szCs w:val="21"/>
              </w:rPr>
              <w:t>）班级人数大于</w:t>
            </w:r>
            <w:r>
              <w:rPr>
                <w:rFonts w:hint="eastAsia" w:ascii="Times New Roman" w:hAnsi="Times New Roman"/>
                <w:color w:val="000000"/>
                <w:sz w:val="21"/>
                <w:szCs w:val="21"/>
              </w:rPr>
              <w:t>50</w:t>
            </w:r>
            <w:r>
              <w:rPr>
                <w:rFonts w:hint="eastAsia" w:ascii="Times New Roman"/>
                <w:color w:val="000000"/>
                <w:sz w:val="21"/>
                <w:szCs w:val="21"/>
              </w:rPr>
              <w:t>人的，一个行政班级最多安排</w:t>
            </w:r>
            <w:r>
              <w:rPr>
                <w:rFonts w:ascii="Times New Roman" w:hAnsi="Times New Roman"/>
                <w:color w:val="000000"/>
                <w:sz w:val="21"/>
                <w:szCs w:val="21"/>
              </w:rPr>
              <w:t>2</w:t>
            </w:r>
            <w:r>
              <w:rPr>
                <w:rFonts w:hint="eastAsia" w:ascii="Times New Roman"/>
                <w:color w:val="000000"/>
                <w:sz w:val="21"/>
                <w:szCs w:val="21"/>
              </w:rPr>
              <w:t>名指导教师。</w:t>
            </w:r>
          </w:p>
          <w:p>
            <w:pPr>
              <w:pStyle w:val="7"/>
              <w:spacing w:before="0" w:beforeAutospacing="0" w:after="0" w:afterAutospacing="0" w:line="320" w:lineRule="exact"/>
              <w:jc w:val="both"/>
              <w:rPr>
                <w:rFonts w:ascii="Arial" w:hAnsi="Arial" w:cs="Arial"/>
                <w:sz w:val="21"/>
                <w:szCs w:val="21"/>
              </w:rPr>
            </w:pPr>
            <w:r>
              <w:rPr>
                <w:rFonts w:hint="eastAsia" w:ascii="Times New Roman"/>
                <w:color w:val="000000"/>
                <w:sz w:val="21"/>
                <w:szCs w:val="21"/>
              </w:rPr>
              <w:t>（</w:t>
            </w:r>
            <w:r>
              <w:rPr>
                <w:rFonts w:ascii="Times New Roman" w:hAnsi="Times New Roman"/>
                <w:color w:val="000000"/>
                <w:sz w:val="21"/>
                <w:szCs w:val="21"/>
              </w:rPr>
              <w:t>3</w:t>
            </w:r>
            <w:r>
              <w:rPr>
                <w:rFonts w:hint="eastAsia" w:ascii="Times New Roman"/>
                <w:color w:val="000000"/>
                <w:sz w:val="21"/>
                <w:szCs w:val="21"/>
              </w:rPr>
              <w:t>）次数是指认知实习期间集中组织参观实习次数，超过2次的按2次计算。</w:t>
            </w:r>
          </w:p>
        </w:tc>
      </w:tr>
      <w:tr>
        <w:tblPrEx>
          <w:tblLayout w:type="fixed"/>
          <w:tblCellMar>
            <w:top w:w="0" w:type="dxa"/>
            <w:left w:w="108" w:type="dxa"/>
            <w:bottom w:w="0" w:type="dxa"/>
            <w:right w:w="108" w:type="dxa"/>
          </w:tblCellMar>
        </w:tblPrEx>
        <w:trPr>
          <w:trHeight w:val="840" w:hRule="atLeast"/>
          <w:jc w:val="center"/>
        </w:trPr>
        <w:tc>
          <w:tcPr>
            <w:tcW w:w="945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pStyle w:val="7"/>
              <w:spacing w:before="0" w:beforeAutospacing="0" w:after="0" w:afterAutospacing="0" w:line="320" w:lineRule="exact"/>
              <w:jc w:val="both"/>
              <w:rPr>
                <w:sz w:val="21"/>
                <w:szCs w:val="21"/>
              </w:rPr>
            </w:pPr>
            <w:r>
              <w:rPr>
                <w:rFonts w:hint="eastAsia" w:ascii="Times New Roman"/>
                <w:color w:val="000000"/>
                <w:sz w:val="21"/>
                <w:szCs w:val="21"/>
              </w:rPr>
              <w:t>说明：由各教学单位按要求完成实习工作，并交实习情况表及实习总结材料至教务处审核及认定工作量。</w:t>
            </w:r>
          </w:p>
        </w:tc>
      </w:tr>
    </w:tbl>
    <w:p>
      <w:pPr>
        <w:spacing w:line="540" w:lineRule="exact"/>
        <w:ind w:firstLine="420" w:firstLineChars="200"/>
        <w:jc w:val="both"/>
        <w:rPr>
          <w:rFonts w:ascii="仿宋_GB2312" w:eastAsia="仿宋_GB2312"/>
          <w:sz w:val="21"/>
          <w:szCs w:val="21"/>
        </w:rPr>
      </w:pPr>
      <w:r>
        <w:rPr>
          <w:rFonts w:hint="eastAsia" w:ascii="仿宋_GB2312" w:eastAsia="仿宋_GB2312"/>
          <w:sz w:val="21"/>
          <w:szCs w:val="21"/>
          <w:u w:color="1C654D"/>
        </w:rPr>
        <w:t>3</w:t>
      </w:r>
      <w:r>
        <w:rPr>
          <w:rFonts w:hint="eastAsia" w:ascii="仿宋_GB2312" w:eastAsia="仿宋_GB2312"/>
          <w:sz w:val="21"/>
          <w:szCs w:val="21"/>
        </w:rPr>
        <w:t>.</w:t>
      </w:r>
      <w:r>
        <w:rPr>
          <w:rFonts w:hint="eastAsia" w:ascii="仿宋_GB2312" w:eastAsia="仿宋_GB2312"/>
          <w:sz w:val="21"/>
          <w:szCs w:val="21"/>
          <w:u w:color="1C654D"/>
        </w:rPr>
        <w:t>毕业论文(设计)、毕业实习(含第8学期各类实践)、毕业教育</w:t>
      </w:r>
    </w:p>
    <w:tbl>
      <w:tblPr>
        <w:tblStyle w:val="9"/>
        <w:tblpPr w:leftFromText="180" w:rightFromText="180" w:vertAnchor="text" w:horzAnchor="margin" w:tblpXSpec="center" w:tblpY="533"/>
        <w:tblW w:w="9322" w:type="dxa"/>
        <w:tblInd w:w="0" w:type="dxa"/>
        <w:tblLayout w:type="fixed"/>
        <w:tblCellMar>
          <w:top w:w="0" w:type="dxa"/>
          <w:left w:w="108" w:type="dxa"/>
          <w:bottom w:w="0" w:type="dxa"/>
          <w:right w:w="108" w:type="dxa"/>
        </w:tblCellMar>
      </w:tblPr>
      <w:tblGrid>
        <w:gridCol w:w="5070"/>
        <w:gridCol w:w="4252"/>
      </w:tblGrid>
      <w:tr>
        <w:tblPrEx>
          <w:tblLayout w:type="fixed"/>
          <w:tblCellMar>
            <w:top w:w="0" w:type="dxa"/>
            <w:left w:w="108" w:type="dxa"/>
            <w:bottom w:w="0" w:type="dxa"/>
            <w:right w:w="108" w:type="dxa"/>
          </w:tblCellMar>
        </w:tblPrEx>
        <w:trPr>
          <w:trHeight w:val="542" w:hRule="atLeast"/>
        </w:trPr>
        <w:tc>
          <w:tcPr>
            <w:tcW w:w="50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b/>
                <w:sz w:val="21"/>
                <w:szCs w:val="21"/>
                <w:u w:color="1C654D"/>
              </w:rPr>
            </w:pPr>
            <w:r>
              <w:rPr>
                <w:rFonts w:hint="eastAsia"/>
                <w:b/>
                <w:sz w:val="21"/>
                <w:szCs w:val="21"/>
                <w:u w:color="1C654D"/>
              </w:rPr>
              <w:t>类别</w:t>
            </w:r>
          </w:p>
        </w:tc>
        <w:tc>
          <w:tcPr>
            <w:tcW w:w="4252" w:type="dxa"/>
            <w:tcBorders>
              <w:top w:val="single" w:color="auto" w:sz="4" w:space="0"/>
              <w:left w:val="nil"/>
              <w:bottom w:val="single" w:color="auto" w:sz="4" w:space="0"/>
              <w:right w:val="single" w:color="000000" w:sz="4" w:space="0"/>
            </w:tcBorders>
            <w:shd w:val="clear" w:color="auto" w:fill="auto"/>
            <w:vAlign w:val="center"/>
          </w:tcPr>
          <w:p>
            <w:pPr>
              <w:spacing w:line="320" w:lineRule="exact"/>
              <w:jc w:val="center"/>
              <w:rPr>
                <w:b/>
                <w:sz w:val="21"/>
                <w:szCs w:val="21"/>
                <w:u w:color="1C654D"/>
              </w:rPr>
            </w:pPr>
            <w:r>
              <w:rPr>
                <w:rFonts w:hint="eastAsia"/>
                <w:b/>
                <w:sz w:val="21"/>
                <w:szCs w:val="21"/>
                <w:u w:color="1C654D"/>
              </w:rPr>
              <w:t>标准</w:t>
            </w:r>
          </w:p>
        </w:tc>
      </w:tr>
      <w:tr>
        <w:tblPrEx>
          <w:tblLayout w:type="fixed"/>
          <w:tblCellMar>
            <w:top w:w="0" w:type="dxa"/>
            <w:left w:w="108" w:type="dxa"/>
            <w:bottom w:w="0" w:type="dxa"/>
            <w:right w:w="108" w:type="dxa"/>
          </w:tblCellMar>
        </w:tblPrEx>
        <w:trPr>
          <w:trHeight w:val="542" w:hRule="atLeast"/>
        </w:trPr>
        <w:tc>
          <w:tcPr>
            <w:tcW w:w="50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sz w:val="21"/>
                <w:szCs w:val="21"/>
                <w:u w:color="1C654D"/>
              </w:rPr>
            </w:pPr>
            <w:r>
              <w:rPr>
                <w:rFonts w:hint="eastAsia"/>
                <w:sz w:val="21"/>
                <w:szCs w:val="21"/>
                <w:u w:color="1C654D"/>
              </w:rPr>
              <w:t>指导理工类本科毕业设计</w:t>
            </w:r>
          </w:p>
        </w:tc>
        <w:tc>
          <w:tcPr>
            <w:tcW w:w="4252" w:type="dxa"/>
            <w:tcBorders>
              <w:top w:val="single" w:color="auto" w:sz="4" w:space="0"/>
              <w:left w:val="nil"/>
              <w:bottom w:val="single" w:color="auto" w:sz="4" w:space="0"/>
              <w:right w:val="single" w:color="000000" w:sz="4" w:space="0"/>
            </w:tcBorders>
            <w:shd w:val="clear" w:color="auto" w:fill="auto"/>
            <w:vAlign w:val="center"/>
          </w:tcPr>
          <w:p>
            <w:pPr>
              <w:spacing w:line="320" w:lineRule="exact"/>
              <w:jc w:val="center"/>
              <w:rPr>
                <w:sz w:val="21"/>
                <w:szCs w:val="21"/>
                <w:u w:color="1C654D"/>
              </w:rPr>
            </w:pPr>
            <w:r>
              <w:rPr>
                <w:rFonts w:hint="eastAsia"/>
                <w:sz w:val="21"/>
                <w:szCs w:val="21"/>
                <w:u w:color="1C654D"/>
              </w:rPr>
              <w:t>标准学时数=人数×10</w:t>
            </w:r>
          </w:p>
        </w:tc>
      </w:tr>
      <w:tr>
        <w:tblPrEx>
          <w:tblLayout w:type="fixed"/>
          <w:tblCellMar>
            <w:top w:w="0" w:type="dxa"/>
            <w:left w:w="108" w:type="dxa"/>
            <w:bottom w:w="0" w:type="dxa"/>
            <w:right w:w="108" w:type="dxa"/>
          </w:tblCellMar>
        </w:tblPrEx>
        <w:trPr>
          <w:trHeight w:val="542" w:hRule="atLeast"/>
        </w:trPr>
        <w:tc>
          <w:tcPr>
            <w:tcW w:w="50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sz w:val="21"/>
                <w:szCs w:val="21"/>
                <w:u w:color="1C654D"/>
              </w:rPr>
            </w:pPr>
            <w:r>
              <w:rPr>
                <w:rFonts w:hint="eastAsia"/>
                <w:sz w:val="21"/>
                <w:szCs w:val="21"/>
                <w:u w:color="1C654D"/>
              </w:rPr>
              <w:t>指导非理工类本科毕业设计</w:t>
            </w:r>
          </w:p>
        </w:tc>
        <w:tc>
          <w:tcPr>
            <w:tcW w:w="4252" w:type="dxa"/>
            <w:tcBorders>
              <w:top w:val="single" w:color="auto" w:sz="4" w:space="0"/>
              <w:left w:val="nil"/>
              <w:bottom w:val="single" w:color="auto" w:sz="4" w:space="0"/>
              <w:right w:val="single" w:color="000000" w:sz="4" w:space="0"/>
            </w:tcBorders>
            <w:shd w:val="clear" w:color="auto" w:fill="auto"/>
            <w:vAlign w:val="center"/>
          </w:tcPr>
          <w:p>
            <w:pPr>
              <w:spacing w:line="320" w:lineRule="exact"/>
              <w:jc w:val="center"/>
              <w:rPr>
                <w:sz w:val="21"/>
                <w:szCs w:val="21"/>
                <w:u w:color="1C654D"/>
              </w:rPr>
            </w:pPr>
            <w:r>
              <w:rPr>
                <w:rFonts w:hint="eastAsia"/>
                <w:sz w:val="21"/>
                <w:szCs w:val="21"/>
                <w:u w:color="1C654D"/>
              </w:rPr>
              <w:t>标准学时数=人数×8</w:t>
            </w:r>
          </w:p>
        </w:tc>
      </w:tr>
      <w:tr>
        <w:tblPrEx>
          <w:tblLayout w:type="fixed"/>
          <w:tblCellMar>
            <w:top w:w="0" w:type="dxa"/>
            <w:left w:w="108" w:type="dxa"/>
            <w:bottom w:w="0" w:type="dxa"/>
            <w:right w:w="108" w:type="dxa"/>
          </w:tblCellMar>
        </w:tblPrEx>
        <w:trPr>
          <w:trHeight w:val="542" w:hRule="atLeast"/>
        </w:trPr>
        <w:tc>
          <w:tcPr>
            <w:tcW w:w="50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sz w:val="21"/>
                <w:szCs w:val="21"/>
                <w:u w:color="1C654D"/>
              </w:rPr>
            </w:pPr>
            <w:r>
              <w:rPr>
                <w:rFonts w:hint="eastAsia"/>
                <w:sz w:val="21"/>
                <w:szCs w:val="21"/>
                <w:u w:color="1C654D"/>
              </w:rPr>
              <w:t>指导本科毕业论文</w:t>
            </w:r>
          </w:p>
        </w:tc>
        <w:tc>
          <w:tcPr>
            <w:tcW w:w="4252" w:type="dxa"/>
            <w:tcBorders>
              <w:top w:val="single" w:color="auto" w:sz="4" w:space="0"/>
              <w:left w:val="nil"/>
              <w:bottom w:val="single" w:color="auto" w:sz="4" w:space="0"/>
              <w:right w:val="single" w:color="000000" w:sz="4" w:space="0"/>
            </w:tcBorders>
            <w:shd w:val="clear" w:color="auto" w:fill="auto"/>
            <w:vAlign w:val="center"/>
          </w:tcPr>
          <w:p>
            <w:pPr>
              <w:spacing w:line="320" w:lineRule="exact"/>
              <w:jc w:val="center"/>
              <w:rPr>
                <w:sz w:val="21"/>
                <w:szCs w:val="21"/>
                <w:u w:color="1C654D"/>
              </w:rPr>
            </w:pPr>
            <w:r>
              <w:rPr>
                <w:rFonts w:hint="eastAsia"/>
                <w:sz w:val="21"/>
                <w:szCs w:val="21"/>
                <w:u w:color="1C654D"/>
              </w:rPr>
              <w:t>标准学时数=人数×8</w:t>
            </w:r>
          </w:p>
        </w:tc>
      </w:tr>
      <w:tr>
        <w:tblPrEx>
          <w:tblLayout w:type="fixed"/>
          <w:tblCellMar>
            <w:top w:w="0" w:type="dxa"/>
            <w:left w:w="108" w:type="dxa"/>
            <w:bottom w:w="0" w:type="dxa"/>
            <w:right w:w="108" w:type="dxa"/>
          </w:tblCellMar>
        </w:tblPrEx>
        <w:trPr>
          <w:trHeight w:val="542" w:hRule="atLeast"/>
        </w:trPr>
        <w:tc>
          <w:tcPr>
            <w:tcW w:w="50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sz w:val="21"/>
                <w:szCs w:val="21"/>
                <w:u w:color="1C654D"/>
              </w:rPr>
            </w:pPr>
            <w:r>
              <w:rPr>
                <w:rFonts w:hint="eastAsia"/>
                <w:sz w:val="21"/>
                <w:szCs w:val="21"/>
                <w:u w:color="1C654D"/>
              </w:rPr>
              <w:t>指导本科毕业实习（含第8学期各类实践）</w:t>
            </w:r>
          </w:p>
        </w:tc>
        <w:tc>
          <w:tcPr>
            <w:tcW w:w="4252" w:type="dxa"/>
            <w:tcBorders>
              <w:top w:val="single" w:color="auto" w:sz="4" w:space="0"/>
              <w:left w:val="nil"/>
              <w:bottom w:val="single" w:color="auto" w:sz="4" w:space="0"/>
              <w:right w:val="single" w:color="000000" w:sz="4" w:space="0"/>
            </w:tcBorders>
            <w:shd w:val="clear" w:color="auto" w:fill="auto"/>
            <w:vAlign w:val="center"/>
          </w:tcPr>
          <w:p>
            <w:pPr>
              <w:spacing w:line="320" w:lineRule="exact"/>
              <w:jc w:val="center"/>
              <w:rPr>
                <w:sz w:val="21"/>
                <w:szCs w:val="21"/>
                <w:u w:color="1C654D"/>
              </w:rPr>
            </w:pPr>
            <w:r>
              <w:rPr>
                <w:rFonts w:hint="eastAsia"/>
                <w:sz w:val="21"/>
                <w:szCs w:val="21"/>
                <w:u w:color="1C654D"/>
              </w:rPr>
              <w:t>标准学时数=人数×1</w:t>
            </w:r>
          </w:p>
        </w:tc>
      </w:tr>
      <w:tr>
        <w:tblPrEx>
          <w:tblLayout w:type="fixed"/>
          <w:tblCellMar>
            <w:top w:w="0" w:type="dxa"/>
            <w:left w:w="108" w:type="dxa"/>
            <w:bottom w:w="0" w:type="dxa"/>
            <w:right w:w="108" w:type="dxa"/>
          </w:tblCellMar>
        </w:tblPrEx>
        <w:trPr>
          <w:trHeight w:val="542" w:hRule="atLeast"/>
        </w:trPr>
        <w:tc>
          <w:tcPr>
            <w:tcW w:w="50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sz w:val="21"/>
                <w:szCs w:val="21"/>
                <w:u w:color="1C654D"/>
              </w:rPr>
            </w:pPr>
            <w:r>
              <w:rPr>
                <w:rFonts w:hint="eastAsia"/>
                <w:sz w:val="21"/>
                <w:szCs w:val="21"/>
                <w:u w:color="1C654D"/>
              </w:rPr>
              <w:t>就业辅导与毕业教育（毕业教育）</w:t>
            </w:r>
          </w:p>
        </w:tc>
        <w:tc>
          <w:tcPr>
            <w:tcW w:w="4252" w:type="dxa"/>
            <w:tcBorders>
              <w:top w:val="single" w:color="auto" w:sz="4" w:space="0"/>
              <w:left w:val="nil"/>
              <w:bottom w:val="single" w:color="auto" w:sz="4" w:space="0"/>
              <w:right w:val="single" w:color="000000" w:sz="4" w:space="0"/>
            </w:tcBorders>
            <w:shd w:val="clear" w:color="auto" w:fill="auto"/>
            <w:vAlign w:val="center"/>
          </w:tcPr>
          <w:p>
            <w:pPr>
              <w:spacing w:line="320" w:lineRule="exact"/>
              <w:jc w:val="center"/>
              <w:rPr>
                <w:sz w:val="21"/>
                <w:szCs w:val="21"/>
                <w:u w:color="1C654D"/>
              </w:rPr>
            </w:pPr>
            <w:r>
              <w:rPr>
                <w:rFonts w:hint="eastAsia"/>
                <w:sz w:val="21"/>
                <w:szCs w:val="21"/>
                <w:u w:color="1C654D"/>
              </w:rPr>
              <w:t>标准学时=行政班数×1</w:t>
            </w:r>
          </w:p>
        </w:tc>
      </w:tr>
      <w:tr>
        <w:tblPrEx>
          <w:tblLayout w:type="fixed"/>
          <w:tblCellMar>
            <w:top w:w="0" w:type="dxa"/>
            <w:left w:w="108" w:type="dxa"/>
            <w:bottom w:w="0" w:type="dxa"/>
            <w:right w:w="108" w:type="dxa"/>
          </w:tblCellMar>
        </w:tblPrEx>
        <w:trPr>
          <w:trHeight w:val="1982" w:hRule="atLeast"/>
        </w:trPr>
        <w:tc>
          <w:tcPr>
            <w:tcW w:w="932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spacing w:line="320" w:lineRule="exact"/>
              <w:rPr>
                <w:sz w:val="21"/>
                <w:szCs w:val="21"/>
                <w:u w:color="1C654D"/>
              </w:rPr>
            </w:pPr>
            <w:r>
              <w:rPr>
                <w:rFonts w:hint="eastAsia"/>
                <w:sz w:val="21"/>
                <w:szCs w:val="21"/>
                <w:u w:color="1C654D"/>
              </w:rPr>
              <w:t>说明：</w:t>
            </w:r>
          </w:p>
          <w:p>
            <w:pPr>
              <w:spacing w:line="320" w:lineRule="exact"/>
              <w:rPr>
                <w:sz w:val="21"/>
                <w:szCs w:val="21"/>
                <w:u w:color="1C654D"/>
              </w:rPr>
            </w:pPr>
            <w:r>
              <w:rPr>
                <w:rFonts w:hint="eastAsia"/>
                <w:sz w:val="21"/>
                <w:szCs w:val="21"/>
                <w:u w:color="1C654D"/>
              </w:rPr>
              <w:t>1.每位教师指导理工类本科毕业设计人数上限为10，指导非理工类本科毕业设计及指导本科毕业论文的人数上限为15，特殊情况超出限制的需报教务处审批。</w:t>
            </w:r>
          </w:p>
          <w:p>
            <w:pPr>
              <w:spacing w:line="320" w:lineRule="exact"/>
              <w:rPr>
                <w:sz w:val="21"/>
                <w:szCs w:val="21"/>
                <w:u w:color="1C654D"/>
              </w:rPr>
            </w:pPr>
            <w:r>
              <w:rPr>
                <w:rFonts w:hint="eastAsia"/>
                <w:sz w:val="21"/>
                <w:szCs w:val="21"/>
                <w:u w:color="1C654D"/>
              </w:rPr>
              <w:t>2.各学生单位按3%的比例报送优秀毕业论文（设计），优秀毕业论文（设计）指导工作奖励工作量为理工类本科毕业设计奖励5个标准学时，非理工类本科毕业设计及本科毕业论文奖励4个标准学时。</w:t>
            </w:r>
          </w:p>
        </w:tc>
      </w:tr>
    </w:tbl>
    <w:p>
      <w:pPr>
        <w:spacing w:line="520" w:lineRule="exact"/>
        <w:ind w:firstLine="422" w:firstLineChars="200"/>
        <w:rPr>
          <w:rFonts w:ascii="仿宋_GB2312" w:eastAsia="仿宋_GB2312"/>
          <w:sz w:val="21"/>
          <w:szCs w:val="21"/>
          <w:u w:color="1C654D"/>
        </w:rPr>
      </w:pPr>
      <w:r>
        <w:rPr>
          <w:rFonts w:hint="eastAsia" w:ascii="仿宋_GB2312" w:eastAsia="仿宋_GB2312"/>
          <w:b/>
          <w:sz w:val="21"/>
          <w:szCs w:val="21"/>
          <w:u w:color="1C654D"/>
        </w:rPr>
        <w:t>第七条</w:t>
      </w:r>
      <w:r>
        <w:rPr>
          <w:rFonts w:hint="eastAsia" w:ascii="仿宋_GB2312" w:eastAsia="仿宋_GB2312"/>
          <w:sz w:val="21"/>
          <w:szCs w:val="21"/>
          <w:u w:color="1C654D"/>
        </w:rPr>
        <w:t xml:space="preserve">  课外学分</w:t>
      </w:r>
    </w:p>
    <w:p>
      <w:pPr>
        <w:spacing w:line="520" w:lineRule="exact"/>
        <w:ind w:firstLine="420" w:firstLineChars="200"/>
        <w:jc w:val="both"/>
        <w:rPr>
          <w:rFonts w:ascii="仿宋_GB2312" w:eastAsia="仿宋_GB2312"/>
          <w:sz w:val="21"/>
          <w:szCs w:val="21"/>
          <w:u w:color="1C654D"/>
        </w:rPr>
      </w:pPr>
      <w:r>
        <w:rPr>
          <w:rFonts w:hint="eastAsia" w:ascii="仿宋_GB2312" w:eastAsia="仿宋_GB2312"/>
          <w:sz w:val="21"/>
          <w:szCs w:val="21"/>
          <w:u w:color="1C654D"/>
        </w:rPr>
        <w:t>以行政班为单位，一年级每班每学期2个标准学时；二年级每班每学期3个标准学时；三年级每班每学期4个标准学时；四年级每班每学期3个标准学时，由学生所属</w:t>
      </w:r>
      <w:r>
        <w:rPr>
          <w:rFonts w:hint="eastAsia" w:ascii="仿宋_GB2312" w:eastAsia="仿宋_GB2312"/>
          <w:sz w:val="21"/>
          <w:szCs w:val="21"/>
        </w:rPr>
        <w:t>教学</w:t>
      </w:r>
      <w:r>
        <w:rPr>
          <w:rFonts w:hint="eastAsia" w:ascii="仿宋_GB2312" w:eastAsia="仿宋_GB2312"/>
          <w:sz w:val="21"/>
          <w:szCs w:val="21"/>
          <w:u w:color="1C654D"/>
        </w:rPr>
        <w:t>单位根据工作情况分配（中级以上职称的按中级职称单位课酬标准计算）。</w:t>
      </w:r>
    </w:p>
    <w:p>
      <w:pPr>
        <w:spacing w:beforeLines="50" w:line="540" w:lineRule="exact"/>
        <w:jc w:val="center"/>
        <w:rPr>
          <w:rFonts w:ascii="黑体" w:hAnsi="黑体" w:eastAsia="黑体"/>
          <w:sz w:val="21"/>
          <w:szCs w:val="21"/>
          <w:u w:color="1C654D"/>
        </w:rPr>
      </w:pPr>
      <w:r>
        <w:rPr>
          <w:rFonts w:hint="eastAsia" w:ascii="黑体" w:hAnsi="黑体" w:eastAsia="黑体"/>
          <w:sz w:val="21"/>
          <w:szCs w:val="21"/>
          <w:u w:color="1C654D"/>
        </w:rPr>
        <w:t>第三章  标准学时酬金</w:t>
      </w:r>
    </w:p>
    <w:p>
      <w:pPr>
        <w:spacing w:line="540" w:lineRule="exact"/>
        <w:ind w:firstLine="422" w:firstLineChars="200"/>
        <w:rPr>
          <w:rFonts w:ascii="仿宋_GB2312" w:eastAsia="仿宋_GB2312"/>
          <w:sz w:val="21"/>
          <w:szCs w:val="21"/>
          <w:u w:color="1C654D"/>
        </w:rPr>
      </w:pPr>
      <w:r>
        <w:rPr>
          <w:rFonts w:hint="eastAsia" w:ascii="仿宋_GB2312" w:eastAsia="仿宋_GB2312"/>
          <w:b/>
          <w:sz w:val="21"/>
          <w:szCs w:val="21"/>
          <w:u w:color="1C654D"/>
        </w:rPr>
        <w:t>第八条</w:t>
      </w:r>
      <w:r>
        <w:rPr>
          <w:rFonts w:hint="eastAsia" w:ascii="仿宋_GB2312" w:eastAsia="仿宋_GB2312"/>
          <w:sz w:val="21"/>
          <w:szCs w:val="21"/>
          <w:u w:color="1C654D"/>
        </w:rPr>
        <w:t xml:space="preserve">  额定标准学时</w:t>
      </w:r>
    </w:p>
    <w:tbl>
      <w:tblPr>
        <w:tblStyle w:val="9"/>
        <w:tblW w:w="9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7"/>
        <w:gridCol w:w="4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4887" w:type="dxa"/>
            <w:shd w:val="clear" w:color="auto" w:fill="auto"/>
            <w:vAlign w:val="center"/>
          </w:tcPr>
          <w:p>
            <w:pPr>
              <w:spacing w:line="320" w:lineRule="exact"/>
              <w:jc w:val="center"/>
              <w:rPr>
                <w:b/>
                <w:bCs/>
                <w:sz w:val="21"/>
                <w:szCs w:val="21"/>
                <w:u w:color="1C654D"/>
              </w:rPr>
            </w:pPr>
            <w:r>
              <w:rPr>
                <w:rFonts w:hint="eastAsia"/>
                <w:b/>
                <w:bCs/>
                <w:sz w:val="21"/>
                <w:szCs w:val="21"/>
                <w:u w:color="1C654D"/>
              </w:rPr>
              <w:t>职务</w:t>
            </w:r>
          </w:p>
        </w:tc>
        <w:tc>
          <w:tcPr>
            <w:tcW w:w="4708" w:type="dxa"/>
            <w:shd w:val="clear" w:color="auto" w:fill="auto"/>
            <w:vAlign w:val="center"/>
          </w:tcPr>
          <w:p>
            <w:pPr>
              <w:spacing w:line="320" w:lineRule="exact"/>
              <w:jc w:val="center"/>
              <w:rPr>
                <w:b/>
                <w:bCs/>
                <w:sz w:val="21"/>
                <w:szCs w:val="21"/>
                <w:u w:color="1C654D"/>
              </w:rPr>
            </w:pPr>
            <w:r>
              <w:rPr>
                <w:rFonts w:hint="eastAsia"/>
                <w:b/>
                <w:bCs/>
                <w:sz w:val="21"/>
                <w:szCs w:val="21"/>
                <w:u w:color="1C654D"/>
              </w:rPr>
              <w:t>学年度额定教学工作量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4887" w:type="dxa"/>
            <w:shd w:val="clear" w:color="auto" w:fill="auto"/>
            <w:vAlign w:val="center"/>
          </w:tcPr>
          <w:p>
            <w:pPr>
              <w:spacing w:line="320" w:lineRule="exact"/>
              <w:rPr>
                <w:sz w:val="21"/>
                <w:szCs w:val="21"/>
                <w:u w:color="1C654D"/>
              </w:rPr>
            </w:pPr>
            <w:r>
              <w:rPr>
                <w:rFonts w:hint="eastAsia"/>
                <w:sz w:val="21"/>
                <w:szCs w:val="21"/>
                <w:u w:color="1C654D"/>
              </w:rPr>
              <w:t>专职教师</w:t>
            </w:r>
          </w:p>
        </w:tc>
        <w:tc>
          <w:tcPr>
            <w:tcW w:w="4708" w:type="dxa"/>
            <w:shd w:val="clear" w:color="auto" w:fill="auto"/>
            <w:vAlign w:val="center"/>
          </w:tcPr>
          <w:p>
            <w:pPr>
              <w:spacing w:line="320" w:lineRule="exact"/>
              <w:jc w:val="center"/>
              <w:rPr>
                <w:sz w:val="21"/>
                <w:szCs w:val="21"/>
                <w:u w:color="1C654D"/>
              </w:rPr>
            </w:pPr>
            <w:r>
              <w:rPr>
                <w:rFonts w:hint="eastAsia"/>
                <w:sz w:val="21"/>
                <w:szCs w:val="21"/>
                <w:u w:color="1C654D"/>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4887" w:type="dxa"/>
            <w:shd w:val="clear" w:color="auto" w:fill="auto"/>
            <w:vAlign w:val="center"/>
          </w:tcPr>
          <w:p>
            <w:pPr>
              <w:spacing w:line="320" w:lineRule="exact"/>
              <w:rPr>
                <w:sz w:val="21"/>
                <w:szCs w:val="21"/>
                <w:u w:color="1C654D"/>
              </w:rPr>
            </w:pPr>
            <w:r>
              <w:rPr>
                <w:rFonts w:hint="eastAsia"/>
                <w:sz w:val="21"/>
                <w:szCs w:val="21"/>
                <w:u w:color="1C654D"/>
              </w:rPr>
              <w:t>教学</w:t>
            </w:r>
            <w:r>
              <w:rPr>
                <w:rFonts w:hint="eastAsia"/>
                <w:sz w:val="21"/>
                <w:szCs w:val="21"/>
              </w:rPr>
              <w:t>单位</w:t>
            </w:r>
            <w:r>
              <w:rPr>
                <w:rFonts w:hint="eastAsia"/>
                <w:sz w:val="21"/>
                <w:szCs w:val="21"/>
                <w:u w:color="1C654D"/>
              </w:rPr>
              <w:t>主任</w:t>
            </w:r>
          </w:p>
        </w:tc>
        <w:tc>
          <w:tcPr>
            <w:tcW w:w="4708" w:type="dxa"/>
            <w:shd w:val="clear" w:color="auto" w:fill="auto"/>
            <w:vAlign w:val="center"/>
          </w:tcPr>
          <w:p>
            <w:pPr>
              <w:spacing w:line="320" w:lineRule="exact"/>
              <w:jc w:val="center"/>
              <w:rPr>
                <w:sz w:val="21"/>
                <w:szCs w:val="21"/>
                <w:u w:color="1C654D"/>
              </w:rPr>
            </w:pPr>
            <w:r>
              <w:rPr>
                <w:rFonts w:hint="eastAsia"/>
                <w:sz w:val="21"/>
                <w:szCs w:val="21"/>
                <w:u w:color="1C654D"/>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4887" w:type="dxa"/>
            <w:shd w:val="clear" w:color="auto" w:fill="auto"/>
            <w:vAlign w:val="center"/>
          </w:tcPr>
          <w:p>
            <w:pPr>
              <w:spacing w:line="320" w:lineRule="exact"/>
              <w:rPr>
                <w:sz w:val="21"/>
                <w:szCs w:val="21"/>
                <w:u w:color="1C654D"/>
              </w:rPr>
            </w:pPr>
            <w:r>
              <w:rPr>
                <w:rFonts w:hint="eastAsia"/>
                <w:sz w:val="21"/>
                <w:szCs w:val="21"/>
                <w:u w:color="1C654D"/>
              </w:rPr>
              <w:t>教学</w:t>
            </w:r>
            <w:r>
              <w:rPr>
                <w:rFonts w:hint="eastAsia"/>
                <w:sz w:val="21"/>
                <w:szCs w:val="21"/>
              </w:rPr>
              <w:t>单位</w:t>
            </w:r>
            <w:r>
              <w:rPr>
                <w:rFonts w:hint="eastAsia"/>
                <w:sz w:val="21"/>
                <w:szCs w:val="21"/>
                <w:u w:color="1C654D"/>
              </w:rPr>
              <w:t>书记（专职教师兼）</w:t>
            </w:r>
          </w:p>
        </w:tc>
        <w:tc>
          <w:tcPr>
            <w:tcW w:w="4708" w:type="dxa"/>
            <w:shd w:val="clear" w:color="auto" w:fill="auto"/>
            <w:vAlign w:val="center"/>
          </w:tcPr>
          <w:p>
            <w:pPr>
              <w:spacing w:line="320" w:lineRule="exact"/>
              <w:jc w:val="center"/>
              <w:rPr>
                <w:sz w:val="21"/>
                <w:szCs w:val="21"/>
                <w:u w:color="1C654D"/>
              </w:rPr>
            </w:pPr>
            <w:r>
              <w:rPr>
                <w:rFonts w:hint="eastAsia"/>
                <w:sz w:val="21"/>
                <w:szCs w:val="21"/>
                <w:u w:color="1C654D"/>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4887" w:type="dxa"/>
            <w:shd w:val="clear" w:color="auto" w:fill="auto"/>
            <w:vAlign w:val="center"/>
          </w:tcPr>
          <w:p>
            <w:pPr>
              <w:spacing w:line="320" w:lineRule="exact"/>
              <w:rPr>
                <w:sz w:val="21"/>
                <w:szCs w:val="21"/>
                <w:u w:color="1C654D"/>
              </w:rPr>
            </w:pPr>
            <w:r>
              <w:rPr>
                <w:rFonts w:hint="eastAsia"/>
                <w:sz w:val="21"/>
                <w:szCs w:val="21"/>
                <w:u w:color="1C654D"/>
              </w:rPr>
              <w:t>教学</w:t>
            </w:r>
            <w:r>
              <w:rPr>
                <w:rFonts w:hint="eastAsia"/>
                <w:sz w:val="21"/>
                <w:szCs w:val="21"/>
              </w:rPr>
              <w:t>单位</w:t>
            </w:r>
            <w:r>
              <w:rPr>
                <w:rFonts w:hint="eastAsia"/>
                <w:sz w:val="21"/>
                <w:szCs w:val="21"/>
                <w:u w:color="1C654D"/>
              </w:rPr>
              <w:t>副主任（专职教师兼）</w:t>
            </w:r>
          </w:p>
        </w:tc>
        <w:tc>
          <w:tcPr>
            <w:tcW w:w="4708" w:type="dxa"/>
            <w:shd w:val="clear" w:color="auto" w:fill="auto"/>
            <w:vAlign w:val="center"/>
          </w:tcPr>
          <w:p>
            <w:pPr>
              <w:spacing w:line="320" w:lineRule="exact"/>
              <w:jc w:val="center"/>
              <w:rPr>
                <w:sz w:val="21"/>
                <w:szCs w:val="21"/>
                <w:u w:color="1C654D"/>
              </w:rPr>
            </w:pPr>
            <w:r>
              <w:rPr>
                <w:rFonts w:hint="eastAsia"/>
                <w:sz w:val="21"/>
                <w:szCs w:val="21"/>
                <w:u w:color="1C654D"/>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4887" w:type="dxa"/>
            <w:shd w:val="clear" w:color="auto" w:fill="auto"/>
            <w:vAlign w:val="center"/>
          </w:tcPr>
          <w:p>
            <w:pPr>
              <w:spacing w:line="320" w:lineRule="exact"/>
              <w:rPr>
                <w:sz w:val="21"/>
                <w:szCs w:val="21"/>
                <w:u w:color="1C654D"/>
              </w:rPr>
            </w:pPr>
            <w:r>
              <w:rPr>
                <w:rFonts w:hint="eastAsia"/>
                <w:sz w:val="21"/>
                <w:szCs w:val="21"/>
                <w:u w:color="1C654D"/>
              </w:rPr>
              <w:t>教学</w:t>
            </w:r>
            <w:r>
              <w:rPr>
                <w:rFonts w:hint="eastAsia"/>
                <w:sz w:val="21"/>
                <w:szCs w:val="21"/>
              </w:rPr>
              <w:t>单位</w:t>
            </w:r>
            <w:r>
              <w:rPr>
                <w:rFonts w:hint="eastAsia"/>
                <w:sz w:val="21"/>
                <w:szCs w:val="21"/>
                <w:u w:color="1C654D"/>
              </w:rPr>
              <w:t>主任助理（专职教师兼）</w:t>
            </w:r>
          </w:p>
        </w:tc>
        <w:tc>
          <w:tcPr>
            <w:tcW w:w="4708" w:type="dxa"/>
            <w:shd w:val="clear" w:color="auto" w:fill="auto"/>
            <w:vAlign w:val="center"/>
          </w:tcPr>
          <w:p>
            <w:pPr>
              <w:spacing w:line="320" w:lineRule="exact"/>
              <w:jc w:val="center"/>
              <w:rPr>
                <w:sz w:val="21"/>
                <w:szCs w:val="21"/>
                <w:u w:color="1C654D"/>
              </w:rPr>
            </w:pPr>
            <w:r>
              <w:rPr>
                <w:rFonts w:hint="eastAsia"/>
                <w:sz w:val="21"/>
                <w:szCs w:val="21"/>
                <w:u w:color="1C654D"/>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4887" w:type="dxa"/>
            <w:shd w:val="clear" w:color="auto" w:fill="auto"/>
            <w:vAlign w:val="center"/>
          </w:tcPr>
          <w:p>
            <w:pPr>
              <w:spacing w:line="320" w:lineRule="exact"/>
              <w:rPr>
                <w:sz w:val="21"/>
                <w:szCs w:val="21"/>
                <w:u w:color="1C654D"/>
              </w:rPr>
            </w:pPr>
            <w:r>
              <w:rPr>
                <w:rFonts w:hint="eastAsia"/>
                <w:sz w:val="21"/>
                <w:szCs w:val="21"/>
                <w:u w:color="1C654D"/>
              </w:rPr>
              <w:t>教学单位教研室主任</w:t>
            </w:r>
          </w:p>
        </w:tc>
        <w:tc>
          <w:tcPr>
            <w:tcW w:w="4708" w:type="dxa"/>
            <w:shd w:val="clear" w:color="auto" w:fill="auto"/>
            <w:vAlign w:val="center"/>
          </w:tcPr>
          <w:p>
            <w:pPr>
              <w:spacing w:line="320" w:lineRule="exact"/>
              <w:jc w:val="center"/>
              <w:rPr>
                <w:sz w:val="21"/>
                <w:szCs w:val="21"/>
                <w:u w:color="1C654D"/>
              </w:rPr>
            </w:pPr>
            <w:r>
              <w:rPr>
                <w:rFonts w:hint="eastAsia"/>
                <w:sz w:val="21"/>
                <w:szCs w:val="21"/>
                <w:u w:color="1C654D"/>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4887" w:type="dxa"/>
            <w:shd w:val="clear" w:color="auto" w:fill="auto"/>
            <w:vAlign w:val="center"/>
          </w:tcPr>
          <w:p>
            <w:pPr>
              <w:spacing w:line="320" w:lineRule="exact"/>
              <w:rPr>
                <w:sz w:val="21"/>
                <w:szCs w:val="21"/>
                <w:u w:color="1C654D"/>
              </w:rPr>
            </w:pPr>
            <w:r>
              <w:rPr>
                <w:rFonts w:hint="eastAsia"/>
                <w:sz w:val="21"/>
                <w:szCs w:val="21"/>
                <w:u w:color="1C654D"/>
              </w:rPr>
              <w:t>教学</w:t>
            </w:r>
            <w:r>
              <w:rPr>
                <w:rFonts w:hint="eastAsia"/>
                <w:sz w:val="21"/>
                <w:szCs w:val="21"/>
              </w:rPr>
              <w:t>单位</w:t>
            </w:r>
            <w:r>
              <w:rPr>
                <w:rFonts w:hint="eastAsia"/>
                <w:sz w:val="21"/>
                <w:szCs w:val="21"/>
                <w:u w:color="1C654D"/>
              </w:rPr>
              <w:t>实践办主任</w:t>
            </w:r>
          </w:p>
        </w:tc>
        <w:tc>
          <w:tcPr>
            <w:tcW w:w="4708" w:type="dxa"/>
            <w:shd w:val="clear" w:color="auto" w:fill="auto"/>
            <w:vAlign w:val="center"/>
          </w:tcPr>
          <w:p>
            <w:pPr>
              <w:spacing w:line="320" w:lineRule="exact"/>
              <w:jc w:val="center"/>
              <w:rPr>
                <w:sz w:val="21"/>
                <w:szCs w:val="21"/>
                <w:u w:color="1C654D"/>
              </w:rPr>
            </w:pPr>
            <w:r>
              <w:rPr>
                <w:rFonts w:hint="eastAsia"/>
                <w:sz w:val="21"/>
                <w:szCs w:val="21"/>
                <w:u w:color="1C654D"/>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1" w:hRule="atLeast"/>
          <w:jc w:val="center"/>
        </w:trPr>
        <w:tc>
          <w:tcPr>
            <w:tcW w:w="9595" w:type="dxa"/>
            <w:gridSpan w:val="2"/>
            <w:shd w:val="clear" w:color="auto" w:fill="auto"/>
            <w:vAlign w:val="center"/>
          </w:tcPr>
          <w:p>
            <w:pPr>
              <w:spacing w:line="440" w:lineRule="exact"/>
              <w:rPr>
                <w:sz w:val="21"/>
                <w:szCs w:val="21"/>
                <w:u w:color="1C654D"/>
              </w:rPr>
            </w:pPr>
            <w:r>
              <w:rPr>
                <w:rFonts w:hint="eastAsia"/>
                <w:sz w:val="21"/>
                <w:szCs w:val="21"/>
                <w:u w:color="1C654D"/>
              </w:rPr>
              <w:t>说明：</w:t>
            </w:r>
          </w:p>
          <w:p>
            <w:pPr>
              <w:spacing w:line="440" w:lineRule="exact"/>
              <w:rPr>
                <w:sz w:val="21"/>
                <w:szCs w:val="21"/>
                <w:u w:color="1C654D"/>
              </w:rPr>
            </w:pPr>
            <w:r>
              <w:rPr>
                <w:rFonts w:hint="eastAsia"/>
                <w:sz w:val="21"/>
                <w:szCs w:val="21"/>
                <w:u w:color="1C654D"/>
              </w:rPr>
              <w:t>1.院内无“学年度额定教学工作量”要求的教师，按实际承担的教学任务情况计算教学工作量，其中上班时间承担任务以每周4节课为上限（实践课程按标准学时同比计算节数），每学期按18周计算，1学期合计72节，超出部分不计课酬</w:t>
            </w:r>
            <w:r>
              <w:rPr>
                <w:rFonts w:hint="eastAsia"/>
                <w:sz w:val="21"/>
                <w:szCs w:val="21"/>
              </w:rPr>
              <w:t>。</w:t>
            </w:r>
            <w:r>
              <w:rPr>
                <w:rFonts w:hint="eastAsia"/>
                <w:sz w:val="21"/>
                <w:szCs w:val="21"/>
                <w:u w:color="1C654D"/>
              </w:rPr>
              <w:t>上班时间之外完成的教学任务不计算在</w:t>
            </w:r>
            <w:r>
              <w:rPr>
                <w:rFonts w:hint="eastAsia"/>
                <w:sz w:val="21"/>
                <w:szCs w:val="21"/>
              </w:rPr>
              <w:t>72节的限制范围内</w:t>
            </w:r>
            <w:r>
              <w:rPr>
                <w:rFonts w:hint="eastAsia"/>
                <w:sz w:val="21"/>
                <w:szCs w:val="21"/>
                <w:u w:color="1C654D"/>
              </w:rPr>
              <w:t>。</w:t>
            </w:r>
          </w:p>
          <w:p>
            <w:pPr>
              <w:spacing w:line="440" w:lineRule="exact"/>
              <w:rPr>
                <w:sz w:val="21"/>
                <w:szCs w:val="21"/>
                <w:u w:color="1C654D"/>
              </w:rPr>
            </w:pPr>
            <w:r>
              <w:rPr>
                <w:rFonts w:hint="eastAsia"/>
                <w:sz w:val="21"/>
                <w:szCs w:val="21"/>
                <w:u w:color="1C654D"/>
              </w:rPr>
              <w:t>2.教学</w:t>
            </w:r>
            <w:r>
              <w:rPr>
                <w:rFonts w:hint="eastAsia"/>
                <w:sz w:val="21"/>
                <w:szCs w:val="21"/>
              </w:rPr>
              <w:t>单位</w:t>
            </w:r>
            <w:r>
              <w:rPr>
                <w:rFonts w:hint="eastAsia"/>
                <w:sz w:val="21"/>
                <w:szCs w:val="21"/>
                <w:u w:color="1C654D"/>
              </w:rPr>
              <w:t>主任、书记（兼）、副主任（兼）、主任助理（兼）每学期超工作量限制的标准学时数为144，其中理论课上限为72节课，指导毕业论文（设计）、毕业实习的工作量不计入</w:t>
            </w:r>
            <w:r>
              <w:rPr>
                <w:rFonts w:hint="eastAsia"/>
                <w:sz w:val="21"/>
                <w:szCs w:val="21"/>
              </w:rPr>
              <w:t>144的</w:t>
            </w:r>
            <w:r>
              <w:rPr>
                <w:rFonts w:hint="eastAsia"/>
                <w:sz w:val="21"/>
                <w:szCs w:val="21"/>
                <w:u w:color="1C654D"/>
              </w:rPr>
              <w:t>限制标准学时数，超出限制范围的不计课酬。</w:t>
            </w:r>
          </w:p>
          <w:p>
            <w:pPr>
              <w:spacing w:line="440" w:lineRule="exact"/>
              <w:rPr>
                <w:sz w:val="21"/>
                <w:szCs w:val="21"/>
                <w:u w:color="1C654D"/>
              </w:rPr>
            </w:pPr>
            <w:r>
              <w:rPr>
                <w:rFonts w:hint="eastAsia"/>
                <w:sz w:val="21"/>
                <w:szCs w:val="21"/>
                <w:u w:color="1C654D"/>
              </w:rPr>
              <w:t>3.上述两点中因教学需要等特殊情况超出限制的，需于承担任务之前报教务处审核，报分管</w:t>
            </w:r>
            <w:r>
              <w:rPr>
                <w:rFonts w:hint="eastAsia"/>
                <w:sz w:val="21"/>
                <w:szCs w:val="21"/>
              </w:rPr>
              <w:t>院领导</w:t>
            </w:r>
            <w:r>
              <w:rPr>
                <w:rFonts w:hint="eastAsia"/>
                <w:sz w:val="21"/>
                <w:szCs w:val="21"/>
                <w:u w:color="1C654D"/>
              </w:rPr>
              <w:t>审批后方可计算课酬。</w:t>
            </w:r>
          </w:p>
        </w:tc>
      </w:tr>
    </w:tbl>
    <w:p>
      <w:pPr>
        <w:spacing w:line="440" w:lineRule="exact"/>
        <w:ind w:firstLine="415" w:firstLineChars="197"/>
        <w:rPr>
          <w:rFonts w:ascii="仿宋_GB2312" w:eastAsia="仿宋_GB2312"/>
          <w:sz w:val="21"/>
          <w:szCs w:val="21"/>
          <w:u w:color="1C654D"/>
        </w:rPr>
      </w:pPr>
      <w:r>
        <w:rPr>
          <w:rFonts w:hint="eastAsia" w:ascii="仿宋_GB2312" w:eastAsia="仿宋_GB2312"/>
          <w:b/>
          <w:sz w:val="21"/>
          <w:szCs w:val="21"/>
          <w:u w:color="1C654D"/>
        </w:rPr>
        <w:t>第九条</w:t>
      </w:r>
      <w:r>
        <w:rPr>
          <w:rFonts w:hint="eastAsia" w:ascii="仿宋_GB2312" w:eastAsia="仿宋_GB2312"/>
          <w:sz w:val="21"/>
          <w:szCs w:val="21"/>
          <w:u w:color="1C654D"/>
        </w:rPr>
        <w:t xml:space="preserve">  单位课时酬金标准</w:t>
      </w:r>
    </w:p>
    <w:p>
      <w:pPr>
        <w:spacing w:line="540" w:lineRule="exact"/>
        <w:ind w:firstLine="420" w:firstLineChars="200"/>
        <w:rPr>
          <w:rFonts w:ascii="仿宋_GB2312" w:eastAsia="仿宋_GB2312"/>
          <w:sz w:val="21"/>
          <w:szCs w:val="21"/>
          <w:u w:color="1C654D"/>
        </w:rPr>
      </w:pPr>
      <w:r>
        <w:rPr>
          <w:rFonts w:hint="eastAsia" w:ascii="仿宋_GB2312" w:eastAsia="仿宋_GB2312"/>
          <w:sz w:val="21"/>
          <w:szCs w:val="21"/>
          <w:u w:color="1C654D"/>
        </w:rPr>
        <w:t>1</w:t>
      </w:r>
      <w:r>
        <w:rPr>
          <w:rFonts w:hint="eastAsia" w:ascii="仿宋_GB2312" w:eastAsia="仿宋_GB2312"/>
          <w:sz w:val="21"/>
          <w:szCs w:val="21"/>
        </w:rPr>
        <w:t>.外聘教师</w:t>
      </w:r>
    </w:p>
    <w:tbl>
      <w:tblPr>
        <w:tblStyle w:val="9"/>
        <w:tblW w:w="94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113"/>
        <w:gridCol w:w="1566"/>
        <w:gridCol w:w="93"/>
        <w:gridCol w:w="1575"/>
        <w:gridCol w:w="190"/>
        <w:gridCol w:w="1727"/>
        <w:gridCol w:w="396"/>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2236" w:type="dxa"/>
            <w:gridSpan w:val="2"/>
            <w:vAlign w:val="center"/>
          </w:tcPr>
          <w:p>
            <w:pPr>
              <w:spacing w:line="440" w:lineRule="exact"/>
              <w:jc w:val="center"/>
              <w:rPr>
                <w:b/>
                <w:sz w:val="21"/>
                <w:szCs w:val="21"/>
                <w:u w:color="1C654D"/>
              </w:rPr>
            </w:pPr>
            <w:r>
              <w:rPr>
                <w:rFonts w:hint="eastAsia"/>
                <w:b/>
                <w:sz w:val="21"/>
                <w:szCs w:val="21"/>
                <w:u w:color="1C654D"/>
              </w:rPr>
              <w:t>职称</w:t>
            </w:r>
          </w:p>
        </w:tc>
        <w:tc>
          <w:tcPr>
            <w:tcW w:w="1566" w:type="dxa"/>
            <w:vAlign w:val="center"/>
          </w:tcPr>
          <w:p>
            <w:pPr>
              <w:spacing w:line="440" w:lineRule="exact"/>
              <w:jc w:val="center"/>
              <w:rPr>
                <w:b/>
                <w:sz w:val="21"/>
                <w:szCs w:val="21"/>
                <w:u w:color="1C654D"/>
              </w:rPr>
            </w:pPr>
            <w:r>
              <w:rPr>
                <w:rFonts w:hint="eastAsia"/>
                <w:b/>
                <w:sz w:val="21"/>
                <w:szCs w:val="21"/>
                <w:u w:color="1C654D"/>
              </w:rPr>
              <w:t>正高职称</w:t>
            </w:r>
          </w:p>
        </w:tc>
        <w:tc>
          <w:tcPr>
            <w:tcW w:w="1668" w:type="dxa"/>
            <w:gridSpan w:val="2"/>
            <w:vAlign w:val="center"/>
          </w:tcPr>
          <w:p>
            <w:pPr>
              <w:spacing w:line="440" w:lineRule="exact"/>
              <w:jc w:val="center"/>
              <w:rPr>
                <w:b/>
                <w:sz w:val="21"/>
                <w:szCs w:val="21"/>
                <w:u w:color="1C654D"/>
              </w:rPr>
            </w:pPr>
            <w:r>
              <w:rPr>
                <w:rFonts w:hint="eastAsia"/>
                <w:b/>
                <w:sz w:val="21"/>
                <w:szCs w:val="21"/>
                <w:u w:color="1C654D"/>
              </w:rPr>
              <w:t>副高职称</w:t>
            </w:r>
          </w:p>
        </w:tc>
        <w:tc>
          <w:tcPr>
            <w:tcW w:w="1917" w:type="dxa"/>
            <w:gridSpan w:val="2"/>
            <w:vAlign w:val="center"/>
          </w:tcPr>
          <w:p>
            <w:pPr>
              <w:spacing w:line="440" w:lineRule="exact"/>
              <w:jc w:val="center"/>
              <w:rPr>
                <w:b/>
                <w:sz w:val="21"/>
                <w:szCs w:val="21"/>
                <w:u w:color="1C654D"/>
              </w:rPr>
            </w:pPr>
            <w:r>
              <w:rPr>
                <w:rFonts w:hint="eastAsia"/>
                <w:b/>
                <w:sz w:val="21"/>
                <w:szCs w:val="21"/>
                <w:u w:color="1C654D"/>
              </w:rPr>
              <w:t>中级职称</w:t>
            </w:r>
          </w:p>
        </w:tc>
        <w:tc>
          <w:tcPr>
            <w:tcW w:w="2045" w:type="dxa"/>
            <w:gridSpan w:val="2"/>
            <w:vAlign w:val="center"/>
          </w:tcPr>
          <w:p>
            <w:pPr>
              <w:spacing w:line="440" w:lineRule="exact"/>
              <w:jc w:val="center"/>
              <w:rPr>
                <w:b/>
                <w:sz w:val="21"/>
                <w:szCs w:val="21"/>
                <w:u w:color="1C654D"/>
              </w:rPr>
            </w:pPr>
            <w:r>
              <w:rPr>
                <w:rFonts w:hint="eastAsia"/>
                <w:b/>
                <w:sz w:val="21"/>
                <w:szCs w:val="21"/>
                <w:u w:color="1C654D"/>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36" w:type="dxa"/>
            <w:gridSpan w:val="2"/>
            <w:vAlign w:val="center"/>
          </w:tcPr>
          <w:p>
            <w:pPr>
              <w:spacing w:line="440" w:lineRule="exact"/>
              <w:jc w:val="center"/>
              <w:rPr>
                <w:b/>
                <w:sz w:val="21"/>
                <w:szCs w:val="21"/>
                <w:u w:color="1C654D"/>
              </w:rPr>
            </w:pPr>
            <w:r>
              <w:rPr>
                <w:rFonts w:hint="eastAsia"/>
                <w:b/>
                <w:sz w:val="21"/>
                <w:szCs w:val="21"/>
                <w:u w:color="1C654D"/>
              </w:rPr>
              <w:t>标准</w:t>
            </w:r>
          </w:p>
        </w:tc>
        <w:tc>
          <w:tcPr>
            <w:tcW w:w="1566" w:type="dxa"/>
            <w:vAlign w:val="center"/>
          </w:tcPr>
          <w:p>
            <w:pPr>
              <w:spacing w:line="440" w:lineRule="exact"/>
              <w:jc w:val="center"/>
              <w:rPr>
                <w:sz w:val="21"/>
                <w:szCs w:val="21"/>
                <w:u w:color="1C654D"/>
              </w:rPr>
            </w:pPr>
            <w:r>
              <w:rPr>
                <w:rFonts w:hint="eastAsia"/>
                <w:sz w:val="21"/>
                <w:szCs w:val="21"/>
                <w:u w:color="1C654D"/>
              </w:rPr>
              <w:t>160</w:t>
            </w:r>
          </w:p>
        </w:tc>
        <w:tc>
          <w:tcPr>
            <w:tcW w:w="1668" w:type="dxa"/>
            <w:gridSpan w:val="2"/>
            <w:vAlign w:val="center"/>
          </w:tcPr>
          <w:p>
            <w:pPr>
              <w:spacing w:line="440" w:lineRule="exact"/>
              <w:jc w:val="center"/>
              <w:rPr>
                <w:sz w:val="21"/>
                <w:szCs w:val="21"/>
                <w:u w:color="1C654D"/>
              </w:rPr>
            </w:pPr>
            <w:r>
              <w:rPr>
                <w:rFonts w:hint="eastAsia"/>
                <w:sz w:val="21"/>
                <w:szCs w:val="21"/>
                <w:u w:color="1C654D"/>
              </w:rPr>
              <w:t>140</w:t>
            </w:r>
          </w:p>
        </w:tc>
        <w:tc>
          <w:tcPr>
            <w:tcW w:w="1917" w:type="dxa"/>
            <w:gridSpan w:val="2"/>
            <w:vAlign w:val="center"/>
          </w:tcPr>
          <w:p>
            <w:pPr>
              <w:spacing w:line="440" w:lineRule="exact"/>
              <w:jc w:val="center"/>
              <w:rPr>
                <w:sz w:val="21"/>
                <w:szCs w:val="21"/>
                <w:u w:color="1C654D"/>
              </w:rPr>
            </w:pPr>
            <w:r>
              <w:rPr>
                <w:rFonts w:hint="eastAsia"/>
                <w:sz w:val="21"/>
                <w:szCs w:val="21"/>
                <w:u w:color="1C654D"/>
              </w:rPr>
              <w:t>120</w:t>
            </w:r>
          </w:p>
        </w:tc>
        <w:tc>
          <w:tcPr>
            <w:tcW w:w="2045" w:type="dxa"/>
            <w:gridSpan w:val="2"/>
            <w:vAlign w:val="center"/>
          </w:tcPr>
          <w:p>
            <w:pPr>
              <w:spacing w:line="440" w:lineRule="exact"/>
              <w:jc w:val="center"/>
              <w:rPr>
                <w:sz w:val="21"/>
                <w:szCs w:val="21"/>
                <w:u w:color="1C654D"/>
              </w:rPr>
            </w:pPr>
            <w:r>
              <w:rPr>
                <w:rFonts w:hint="eastAsia"/>
                <w:sz w:val="21"/>
                <w:szCs w:val="21"/>
                <w:u w:color="1C654D"/>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1" w:hRule="atLeast"/>
          <w:jc w:val="center"/>
        </w:trPr>
        <w:tc>
          <w:tcPr>
            <w:tcW w:w="9432" w:type="dxa"/>
            <w:gridSpan w:val="9"/>
            <w:tcBorders>
              <w:bottom w:val="single" w:color="auto" w:sz="4" w:space="0"/>
            </w:tcBorders>
            <w:shd w:val="clear" w:color="auto" w:fill="auto"/>
            <w:vAlign w:val="center"/>
          </w:tcPr>
          <w:p>
            <w:pPr>
              <w:spacing w:line="540" w:lineRule="exact"/>
              <w:ind w:firstLine="525" w:firstLineChars="250"/>
              <w:rPr>
                <w:rFonts w:ascii="仿宋_GB2312" w:eastAsia="仿宋_GB2312"/>
                <w:sz w:val="21"/>
                <w:szCs w:val="21"/>
                <w:u w:color="1C654D"/>
              </w:rPr>
            </w:pPr>
            <w:r>
              <w:rPr>
                <w:rFonts w:hint="eastAsia" w:ascii="仿宋_GB2312" w:eastAsia="仿宋_GB2312"/>
                <w:sz w:val="21"/>
                <w:szCs w:val="21"/>
                <w:u w:color="1C654D"/>
              </w:rPr>
              <w:t>2.院内教师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6" w:hRule="atLeast"/>
          <w:jc w:val="center"/>
        </w:trPr>
        <w:tc>
          <w:tcPr>
            <w:tcW w:w="2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b/>
                <w:bCs/>
                <w:sz w:val="21"/>
                <w:szCs w:val="21"/>
                <w:u w:color="1C654D"/>
              </w:rPr>
            </w:pPr>
            <w:r>
              <w:rPr>
                <w:rFonts w:hint="eastAsia"/>
                <w:b/>
                <w:bCs/>
                <w:sz w:val="21"/>
                <w:szCs w:val="21"/>
                <w:u w:color="1C654D"/>
              </w:rPr>
              <w:t>职称</w:t>
            </w:r>
          </w:p>
        </w:tc>
        <w:tc>
          <w:tcPr>
            <w:tcW w:w="1772" w:type="dxa"/>
            <w:gridSpan w:val="3"/>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b/>
                <w:bCs/>
                <w:sz w:val="21"/>
                <w:szCs w:val="21"/>
                <w:u w:color="1C654D"/>
              </w:rPr>
            </w:pPr>
            <w:r>
              <w:rPr>
                <w:b/>
                <w:bCs/>
                <w:sz w:val="21"/>
                <w:szCs w:val="21"/>
                <w:u w:color="1C654D"/>
              </w:rPr>
              <w:t>正高职称</w:t>
            </w:r>
          </w:p>
        </w:tc>
        <w:tc>
          <w:tcPr>
            <w:tcW w:w="1765" w:type="dxa"/>
            <w:gridSpan w:val="2"/>
            <w:tcBorders>
              <w:top w:val="single" w:color="auto" w:sz="4" w:space="0"/>
              <w:left w:val="nil"/>
              <w:bottom w:val="single" w:color="auto" w:sz="4" w:space="0"/>
              <w:right w:val="single" w:color="auto" w:sz="4" w:space="0"/>
            </w:tcBorders>
            <w:shd w:val="clear" w:color="auto" w:fill="auto"/>
            <w:vAlign w:val="center"/>
          </w:tcPr>
          <w:p>
            <w:pPr>
              <w:spacing w:line="440" w:lineRule="exact"/>
              <w:ind w:firstLine="207" w:firstLineChars="98"/>
              <w:rPr>
                <w:b/>
                <w:bCs/>
                <w:sz w:val="21"/>
                <w:szCs w:val="21"/>
                <w:u w:color="1C654D"/>
              </w:rPr>
            </w:pPr>
            <w:r>
              <w:rPr>
                <w:b/>
                <w:bCs/>
                <w:sz w:val="21"/>
                <w:szCs w:val="21"/>
                <w:u w:color="1C654D"/>
              </w:rPr>
              <w:t>副高职称</w:t>
            </w:r>
          </w:p>
        </w:tc>
        <w:tc>
          <w:tcPr>
            <w:tcW w:w="2123" w:type="dxa"/>
            <w:gridSpan w:val="2"/>
            <w:tcBorders>
              <w:top w:val="single" w:color="auto" w:sz="4" w:space="0"/>
              <w:left w:val="nil"/>
              <w:bottom w:val="single" w:color="auto" w:sz="4" w:space="0"/>
              <w:right w:val="single" w:color="auto" w:sz="4" w:space="0"/>
            </w:tcBorders>
            <w:shd w:val="clear" w:color="auto" w:fill="auto"/>
            <w:vAlign w:val="center"/>
          </w:tcPr>
          <w:p>
            <w:pPr>
              <w:spacing w:line="440" w:lineRule="exact"/>
              <w:ind w:firstLine="310" w:firstLineChars="147"/>
              <w:rPr>
                <w:b/>
                <w:bCs/>
                <w:sz w:val="21"/>
                <w:szCs w:val="21"/>
                <w:u w:color="1C654D"/>
              </w:rPr>
            </w:pPr>
            <w:r>
              <w:rPr>
                <w:b/>
                <w:bCs/>
                <w:sz w:val="21"/>
                <w:szCs w:val="21"/>
                <w:u w:color="1C654D"/>
              </w:rPr>
              <w:t>中级职称</w:t>
            </w:r>
          </w:p>
        </w:tc>
        <w:tc>
          <w:tcPr>
            <w:tcW w:w="1649" w:type="dxa"/>
            <w:tcBorders>
              <w:top w:val="single" w:color="auto" w:sz="4" w:space="0"/>
              <w:left w:val="nil"/>
              <w:bottom w:val="single" w:color="auto" w:sz="4" w:space="0"/>
              <w:right w:val="single" w:color="auto" w:sz="4" w:space="0"/>
            </w:tcBorders>
            <w:shd w:val="clear" w:color="auto" w:fill="auto"/>
            <w:vAlign w:val="center"/>
          </w:tcPr>
          <w:p>
            <w:pPr>
              <w:spacing w:line="440" w:lineRule="exact"/>
              <w:ind w:firstLine="207" w:firstLineChars="98"/>
              <w:rPr>
                <w:b/>
                <w:bCs/>
                <w:sz w:val="21"/>
                <w:szCs w:val="21"/>
                <w:u w:color="1C654D"/>
              </w:rPr>
            </w:pPr>
            <w:r>
              <w:rPr>
                <w:b/>
                <w:bCs/>
                <w:sz w:val="21"/>
                <w:szCs w:val="21"/>
                <w:u w:color="1C654D"/>
              </w:rPr>
              <w:t>初级职称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6" w:hRule="atLeast"/>
          <w:jc w:val="center"/>
        </w:trPr>
        <w:tc>
          <w:tcPr>
            <w:tcW w:w="2123" w:type="dxa"/>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b/>
                <w:bCs/>
                <w:sz w:val="21"/>
                <w:szCs w:val="21"/>
                <w:u w:color="1C654D"/>
              </w:rPr>
            </w:pPr>
            <w:r>
              <w:rPr>
                <w:b/>
                <w:bCs/>
                <w:sz w:val="21"/>
                <w:szCs w:val="21"/>
                <w:u w:color="1C654D"/>
              </w:rPr>
              <w:t>基本超工作量</w:t>
            </w:r>
            <w:r>
              <w:rPr>
                <w:rFonts w:hint="eastAsia"/>
                <w:b/>
                <w:bCs/>
                <w:sz w:val="21"/>
                <w:szCs w:val="21"/>
                <w:u w:color="1C654D"/>
              </w:rPr>
              <w:t>课酬</w:t>
            </w:r>
            <w:r>
              <w:rPr>
                <w:b/>
                <w:bCs/>
                <w:sz w:val="21"/>
                <w:szCs w:val="21"/>
                <w:u w:color="1C654D"/>
              </w:rPr>
              <w:br w:type="textWrapping"/>
            </w:r>
            <w:r>
              <w:rPr>
                <w:b/>
                <w:bCs/>
                <w:sz w:val="21"/>
                <w:szCs w:val="21"/>
                <w:u w:color="1C654D"/>
              </w:rPr>
              <w:t>标准</w:t>
            </w:r>
          </w:p>
        </w:tc>
        <w:tc>
          <w:tcPr>
            <w:tcW w:w="1772" w:type="dxa"/>
            <w:gridSpan w:val="3"/>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bCs/>
                <w:sz w:val="21"/>
                <w:szCs w:val="21"/>
                <w:u w:color="1C654D"/>
              </w:rPr>
            </w:pPr>
            <w:r>
              <w:rPr>
                <w:rFonts w:hint="eastAsia"/>
                <w:bCs/>
                <w:sz w:val="21"/>
                <w:szCs w:val="21"/>
                <w:u w:color="1C654D"/>
              </w:rPr>
              <w:t>100</w:t>
            </w:r>
          </w:p>
        </w:tc>
        <w:tc>
          <w:tcPr>
            <w:tcW w:w="1765"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bCs/>
                <w:sz w:val="21"/>
                <w:szCs w:val="21"/>
                <w:u w:color="1C654D"/>
              </w:rPr>
            </w:pPr>
            <w:r>
              <w:rPr>
                <w:rFonts w:hint="eastAsia"/>
                <w:bCs/>
                <w:sz w:val="21"/>
                <w:szCs w:val="21"/>
                <w:u w:color="1C654D"/>
              </w:rPr>
              <w:t>90</w:t>
            </w:r>
          </w:p>
        </w:tc>
        <w:tc>
          <w:tcPr>
            <w:tcW w:w="2123"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bCs/>
                <w:sz w:val="21"/>
                <w:szCs w:val="21"/>
                <w:u w:color="1C654D"/>
              </w:rPr>
            </w:pPr>
            <w:r>
              <w:rPr>
                <w:rFonts w:hint="eastAsia"/>
                <w:bCs/>
                <w:sz w:val="21"/>
                <w:szCs w:val="21"/>
                <w:u w:color="1C654D"/>
              </w:rPr>
              <w:t>80</w:t>
            </w:r>
          </w:p>
        </w:tc>
        <w:tc>
          <w:tcPr>
            <w:tcW w:w="1649"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bCs/>
                <w:sz w:val="21"/>
                <w:szCs w:val="21"/>
                <w:u w:color="1C654D"/>
              </w:rPr>
            </w:pPr>
            <w:r>
              <w:rPr>
                <w:rFonts w:hint="eastAsia"/>
                <w:bCs/>
                <w:sz w:val="21"/>
                <w:szCs w:val="21"/>
                <w:u w:color="1C654D"/>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2123" w:type="dxa"/>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b/>
                <w:bCs/>
                <w:sz w:val="21"/>
                <w:szCs w:val="21"/>
                <w:u w:color="1C654D"/>
              </w:rPr>
            </w:pPr>
            <w:r>
              <w:rPr>
                <w:rFonts w:hint="eastAsia"/>
                <w:b/>
                <w:bCs/>
                <w:sz w:val="21"/>
                <w:szCs w:val="21"/>
                <w:u w:color="1C654D"/>
              </w:rPr>
              <w:t>超</w:t>
            </w:r>
            <w:r>
              <w:rPr>
                <w:b/>
                <w:bCs/>
                <w:sz w:val="21"/>
                <w:szCs w:val="21"/>
                <w:u w:color="1C654D"/>
              </w:rPr>
              <w:t>工作量</w:t>
            </w:r>
            <w:r>
              <w:rPr>
                <w:rFonts w:hint="eastAsia"/>
                <w:b/>
                <w:bCs/>
                <w:sz w:val="21"/>
                <w:szCs w:val="21"/>
                <w:u w:color="1C654D"/>
              </w:rPr>
              <w:t>阶梯课酬</w:t>
            </w:r>
            <w:r>
              <w:rPr>
                <w:b/>
                <w:bCs/>
                <w:sz w:val="21"/>
                <w:szCs w:val="21"/>
                <w:u w:color="1C654D"/>
              </w:rPr>
              <w:br w:type="textWrapping"/>
            </w:r>
            <w:r>
              <w:rPr>
                <w:rFonts w:hint="eastAsia"/>
                <w:b/>
                <w:bCs/>
                <w:sz w:val="21"/>
                <w:szCs w:val="21"/>
                <w:u w:color="1C654D"/>
              </w:rPr>
              <w:t>标准</w:t>
            </w:r>
          </w:p>
        </w:tc>
        <w:tc>
          <w:tcPr>
            <w:tcW w:w="1772" w:type="dxa"/>
            <w:gridSpan w:val="3"/>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sz w:val="21"/>
                <w:szCs w:val="21"/>
                <w:u w:color="1C654D"/>
              </w:rPr>
            </w:pPr>
            <w:r>
              <w:rPr>
                <w:rFonts w:hint="eastAsia"/>
                <w:sz w:val="21"/>
                <w:szCs w:val="21"/>
                <w:u w:color="1C654D"/>
              </w:rPr>
              <w:t>160</w:t>
            </w:r>
          </w:p>
        </w:tc>
        <w:tc>
          <w:tcPr>
            <w:tcW w:w="1765"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sz w:val="21"/>
                <w:szCs w:val="21"/>
                <w:u w:color="1C654D"/>
              </w:rPr>
            </w:pPr>
            <w:r>
              <w:rPr>
                <w:rFonts w:hint="eastAsia"/>
                <w:sz w:val="21"/>
                <w:szCs w:val="21"/>
                <w:u w:color="1C654D"/>
              </w:rPr>
              <w:t>140</w:t>
            </w:r>
          </w:p>
        </w:tc>
        <w:tc>
          <w:tcPr>
            <w:tcW w:w="2123"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sz w:val="21"/>
                <w:szCs w:val="21"/>
                <w:u w:color="1C654D"/>
              </w:rPr>
            </w:pPr>
            <w:r>
              <w:rPr>
                <w:rFonts w:hint="eastAsia"/>
                <w:sz w:val="21"/>
                <w:szCs w:val="21"/>
                <w:u w:color="1C654D"/>
              </w:rPr>
              <w:t>120</w:t>
            </w:r>
          </w:p>
        </w:tc>
        <w:tc>
          <w:tcPr>
            <w:tcW w:w="1649"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sz w:val="21"/>
                <w:szCs w:val="21"/>
                <w:u w:color="1C654D"/>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3" w:hRule="atLeast"/>
          <w:jc w:val="center"/>
        </w:trPr>
        <w:tc>
          <w:tcPr>
            <w:tcW w:w="2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b/>
                <w:sz w:val="21"/>
                <w:szCs w:val="21"/>
                <w:u w:color="1C654D"/>
              </w:rPr>
            </w:pPr>
            <w:r>
              <w:rPr>
                <w:rFonts w:hint="eastAsia"/>
                <w:b/>
                <w:sz w:val="21"/>
                <w:szCs w:val="21"/>
                <w:u w:color="1C654D"/>
              </w:rPr>
              <w:t>说明</w:t>
            </w:r>
          </w:p>
        </w:tc>
        <w:tc>
          <w:tcPr>
            <w:tcW w:w="7309" w:type="dxa"/>
            <w:gridSpan w:val="8"/>
            <w:tcBorders>
              <w:top w:val="single" w:color="auto" w:sz="4" w:space="0"/>
              <w:left w:val="nil"/>
              <w:bottom w:val="single" w:color="auto" w:sz="4" w:space="0"/>
              <w:right w:val="single" w:color="auto" w:sz="4" w:space="0"/>
            </w:tcBorders>
            <w:shd w:val="clear" w:color="auto" w:fill="auto"/>
            <w:vAlign w:val="center"/>
          </w:tcPr>
          <w:p>
            <w:pPr>
              <w:spacing w:line="400" w:lineRule="exact"/>
              <w:rPr>
                <w:sz w:val="21"/>
                <w:szCs w:val="21"/>
                <w:u w:color="1C654D"/>
              </w:rPr>
            </w:pPr>
            <w:r>
              <w:rPr>
                <w:sz w:val="21"/>
                <w:szCs w:val="21"/>
                <w:u w:color="1C654D"/>
              </w:rPr>
              <w:t>1.</w:t>
            </w:r>
            <w:r>
              <w:rPr>
                <w:rFonts w:hint="eastAsia"/>
                <w:sz w:val="21"/>
                <w:szCs w:val="21"/>
                <w:u w:color="1C654D"/>
              </w:rPr>
              <w:t>中级及以上职称教师完成工作量在576个标准学时以上的部分按阶梯课酬标准计算。</w:t>
            </w:r>
          </w:p>
          <w:p>
            <w:pPr>
              <w:spacing w:line="400" w:lineRule="exact"/>
              <w:rPr>
                <w:sz w:val="21"/>
                <w:szCs w:val="21"/>
                <w:u w:color="1C654D"/>
              </w:rPr>
            </w:pPr>
            <w:r>
              <w:rPr>
                <w:sz w:val="21"/>
                <w:szCs w:val="21"/>
                <w:u w:color="1C654D"/>
              </w:rPr>
              <w:t>2.</w:t>
            </w:r>
            <w:r>
              <w:rPr>
                <w:rFonts w:hint="eastAsia"/>
                <w:sz w:val="21"/>
                <w:szCs w:val="21"/>
                <w:u w:color="1C654D"/>
              </w:rPr>
              <w:t>理论教学（含课内上机、实验）及校内实践中属“教师固定时间、地点跟班指导，以班为单位集中开展的实践课程”的</w:t>
            </w:r>
            <w:r>
              <w:rPr>
                <w:rFonts w:hint="eastAsia"/>
                <w:sz w:val="21"/>
                <w:szCs w:val="21"/>
              </w:rPr>
              <w:t>，</w:t>
            </w:r>
            <w:r>
              <w:rPr>
                <w:rFonts w:hint="eastAsia"/>
                <w:sz w:val="21"/>
                <w:szCs w:val="21"/>
                <w:u w:color="1C654D"/>
              </w:rPr>
              <w:t>计入阶梯课酬工作量统计范围。</w:t>
            </w:r>
          </w:p>
        </w:tc>
      </w:tr>
    </w:tbl>
    <w:p>
      <w:pPr>
        <w:spacing w:line="540" w:lineRule="exact"/>
        <w:ind w:firstLine="422" w:firstLineChars="200"/>
        <w:rPr>
          <w:rFonts w:ascii="仿宋_GB2312" w:eastAsia="仿宋_GB2312"/>
          <w:sz w:val="21"/>
          <w:szCs w:val="21"/>
          <w:u w:color="1C654D"/>
        </w:rPr>
      </w:pPr>
      <w:r>
        <w:rPr>
          <w:rFonts w:hint="eastAsia" w:ascii="仿宋_GB2312" w:eastAsia="仿宋_GB2312"/>
          <w:b/>
          <w:sz w:val="21"/>
          <w:szCs w:val="21"/>
          <w:u w:color="1C654D"/>
        </w:rPr>
        <w:t>第十条</w:t>
      </w:r>
      <w:r>
        <w:rPr>
          <w:rFonts w:hint="eastAsia" w:ascii="仿宋_GB2312" w:eastAsia="仿宋_GB2312"/>
          <w:sz w:val="21"/>
          <w:szCs w:val="21"/>
          <w:u w:color="1C654D"/>
        </w:rPr>
        <w:t xml:space="preserve">  课时酬金发放安排</w:t>
      </w:r>
    </w:p>
    <w:p>
      <w:pPr>
        <w:spacing w:line="540" w:lineRule="exact"/>
        <w:ind w:firstLine="420" w:firstLineChars="200"/>
        <w:jc w:val="both"/>
        <w:rPr>
          <w:rFonts w:ascii="仿宋_GB2312" w:eastAsia="仿宋_GB2312"/>
          <w:sz w:val="21"/>
          <w:szCs w:val="21"/>
          <w:u w:color="1C654D"/>
        </w:rPr>
      </w:pPr>
      <w:r>
        <w:rPr>
          <w:rFonts w:hint="eastAsia" w:ascii="仿宋_GB2312" w:eastAsia="仿宋_GB2312"/>
          <w:sz w:val="21"/>
          <w:szCs w:val="21"/>
          <w:u w:color="1C654D"/>
        </w:rPr>
        <w:t>1.院内教师的基本超工作量课酬按学期计算和发放，阶梯课酬按学年计算工作量后，统一在当学年的第二学期发放。</w:t>
      </w:r>
    </w:p>
    <w:p>
      <w:pPr>
        <w:spacing w:line="540" w:lineRule="exact"/>
        <w:ind w:firstLine="420" w:firstLineChars="200"/>
        <w:jc w:val="both"/>
        <w:rPr>
          <w:rFonts w:ascii="仿宋_GB2312" w:eastAsia="仿宋_GB2312"/>
          <w:sz w:val="21"/>
          <w:szCs w:val="21"/>
          <w:u w:color="1C654D"/>
        </w:rPr>
      </w:pPr>
      <w:r>
        <w:rPr>
          <w:rFonts w:hint="eastAsia" w:ascii="仿宋_GB2312" w:eastAsia="仿宋_GB2312"/>
          <w:sz w:val="21"/>
          <w:szCs w:val="21"/>
          <w:u w:color="1C654D"/>
        </w:rPr>
        <w:t>2.外聘教师理论课程及课程设计部分的课酬在当学期期末发放金额的90%，次学期开学发放金额的10%，其余实践教学课酬于当学期一次性发放。</w:t>
      </w:r>
    </w:p>
    <w:p>
      <w:pPr>
        <w:spacing w:line="440" w:lineRule="exact"/>
        <w:jc w:val="center"/>
        <w:rPr>
          <w:rFonts w:ascii="黑体" w:hAnsi="黑体" w:eastAsia="黑体"/>
          <w:bCs/>
          <w:sz w:val="21"/>
          <w:szCs w:val="21"/>
          <w:u w:color="1C654D"/>
        </w:rPr>
      </w:pPr>
      <w:r>
        <w:rPr>
          <w:rFonts w:hint="eastAsia" w:ascii="黑体" w:hAnsi="黑体" w:eastAsia="黑体"/>
          <w:bCs/>
          <w:sz w:val="21"/>
          <w:szCs w:val="21"/>
          <w:u w:color="1C654D"/>
        </w:rPr>
        <w:t>第四章  附  则</w:t>
      </w:r>
    </w:p>
    <w:p>
      <w:pPr>
        <w:spacing w:line="540" w:lineRule="exact"/>
        <w:ind w:firstLine="422" w:firstLineChars="200"/>
        <w:jc w:val="both"/>
        <w:rPr>
          <w:rFonts w:ascii="仿宋_GB2312" w:eastAsia="仿宋_GB2312"/>
          <w:sz w:val="21"/>
          <w:szCs w:val="21"/>
          <w:u w:color="1C654D"/>
        </w:rPr>
      </w:pPr>
      <w:r>
        <w:rPr>
          <w:rFonts w:hint="eastAsia" w:ascii="仿宋_GB2312" w:eastAsia="仿宋_GB2312"/>
          <w:b/>
          <w:sz w:val="21"/>
          <w:szCs w:val="21"/>
          <w:u w:color="1C654D"/>
        </w:rPr>
        <w:t>第十一条</w:t>
      </w:r>
      <w:r>
        <w:rPr>
          <w:rFonts w:hint="eastAsia" w:ascii="仿宋_GB2312" w:eastAsia="仿宋_GB2312"/>
          <w:sz w:val="21"/>
          <w:szCs w:val="21"/>
          <w:u w:color="1C654D"/>
        </w:rPr>
        <w:t xml:space="preserve">  因教学任务需要，教师在规定工作量</w:t>
      </w:r>
      <w:r>
        <w:rPr>
          <w:rFonts w:ascii="仿宋_GB2312" w:eastAsia="仿宋_GB2312"/>
          <w:sz w:val="21"/>
          <w:szCs w:val="21"/>
          <w:u w:color="1C654D"/>
        </w:rPr>
        <w:t>150%</w:t>
      </w:r>
      <w:r>
        <w:rPr>
          <w:rFonts w:hint="eastAsia" w:ascii="仿宋_GB2312" w:eastAsia="仿宋_GB2312"/>
          <w:sz w:val="21"/>
          <w:szCs w:val="21"/>
          <w:u w:color="1C654D"/>
        </w:rPr>
        <w:t>内不得拒接任务。</w:t>
      </w:r>
    </w:p>
    <w:p>
      <w:pPr>
        <w:spacing w:line="540" w:lineRule="exact"/>
        <w:ind w:firstLine="422" w:firstLineChars="200"/>
        <w:jc w:val="both"/>
        <w:rPr>
          <w:rFonts w:ascii="仿宋_GB2312" w:eastAsia="仿宋_GB2312"/>
          <w:sz w:val="21"/>
          <w:szCs w:val="21"/>
          <w:u w:color="1C654D"/>
        </w:rPr>
      </w:pPr>
      <w:r>
        <w:rPr>
          <w:rFonts w:hint="eastAsia" w:ascii="仿宋_GB2312" w:eastAsia="仿宋_GB2312"/>
          <w:b/>
          <w:sz w:val="21"/>
          <w:szCs w:val="21"/>
          <w:u w:color="1C654D"/>
        </w:rPr>
        <w:t>第十二条</w:t>
      </w:r>
      <w:r>
        <w:rPr>
          <w:rFonts w:hint="eastAsia" w:ascii="仿宋_GB2312" w:eastAsia="仿宋_GB2312"/>
          <w:sz w:val="21"/>
          <w:szCs w:val="21"/>
          <w:u w:color="1C654D"/>
        </w:rPr>
        <w:t xml:space="preserve">  因课程需要，部分学时需聘请校外专家讲课，且教师需随堂辅助教学和听课的，校外专家按外聘教师标准计算课酬或以其它方式计算报酬，课程教师按原工作量的</w:t>
      </w:r>
      <w:r>
        <w:rPr>
          <w:rFonts w:ascii="仿宋_GB2312" w:eastAsia="仿宋_GB2312"/>
          <w:sz w:val="21"/>
          <w:szCs w:val="21"/>
          <w:u w:color="1C654D"/>
        </w:rPr>
        <w:t>50%</w:t>
      </w:r>
      <w:r>
        <w:rPr>
          <w:rFonts w:hint="eastAsia" w:ascii="仿宋_GB2312" w:eastAsia="仿宋_GB2312"/>
          <w:sz w:val="21"/>
          <w:szCs w:val="21"/>
          <w:u w:color="1C654D"/>
        </w:rPr>
        <w:t>计算。</w:t>
      </w:r>
    </w:p>
    <w:p>
      <w:pPr>
        <w:spacing w:line="540" w:lineRule="exact"/>
        <w:ind w:firstLine="422" w:firstLineChars="200"/>
        <w:jc w:val="both"/>
        <w:rPr>
          <w:rFonts w:ascii="仿宋_GB2312" w:eastAsia="仿宋_GB2312"/>
          <w:sz w:val="21"/>
          <w:szCs w:val="21"/>
          <w:u w:color="1C654D"/>
        </w:rPr>
      </w:pPr>
      <w:r>
        <w:rPr>
          <w:rFonts w:hint="eastAsia" w:ascii="仿宋_GB2312" w:eastAsia="仿宋_GB2312"/>
          <w:b/>
          <w:sz w:val="21"/>
          <w:szCs w:val="21"/>
          <w:u w:color="1C654D"/>
        </w:rPr>
        <w:t>第十三条</w:t>
      </w:r>
      <w:r>
        <w:rPr>
          <w:rFonts w:hint="eastAsia" w:ascii="仿宋_GB2312" w:eastAsia="仿宋_GB2312"/>
          <w:sz w:val="21"/>
          <w:szCs w:val="21"/>
          <w:u w:color="1C654D"/>
        </w:rPr>
        <w:t xml:space="preserve">  按学期结算工作量，欠工作量不累积，在绩效工资中按教师职称对应的基本超工作量课酬标准扣减。 </w:t>
      </w:r>
    </w:p>
    <w:p>
      <w:pPr>
        <w:spacing w:line="540" w:lineRule="exact"/>
        <w:ind w:firstLine="422" w:firstLineChars="200"/>
        <w:jc w:val="both"/>
        <w:rPr>
          <w:rFonts w:ascii="仿宋_GB2312" w:eastAsia="仿宋_GB2312"/>
          <w:sz w:val="21"/>
          <w:szCs w:val="21"/>
          <w:u w:color="1C654D"/>
        </w:rPr>
      </w:pPr>
      <w:r>
        <w:rPr>
          <w:rFonts w:hint="eastAsia" w:ascii="仿宋_GB2312" w:eastAsia="仿宋_GB2312"/>
          <w:b/>
          <w:sz w:val="21"/>
          <w:szCs w:val="21"/>
          <w:u w:color="1C654D"/>
        </w:rPr>
        <w:t>第十四条</w:t>
      </w:r>
      <w:r>
        <w:rPr>
          <w:rFonts w:hint="eastAsia" w:ascii="仿宋_GB2312" w:eastAsia="仿宋_GB2312"/>
          <w:sz w:val="21"/>
          <w:szCs w:val="21"/>
          <w:u w:color="1C654D"/>
        </w:rPr>
        <w:t xml:space="preserve">  非教师岗位转教师岗（含外单位非教师岗引进）的教师、第一次参加工作的新进教师在第一学期内完成96个标准学时即可按完成额定工作量考核，但需超过192个标准学时方可计发超课时酬金。</w:t>
      </w:r>
    </w:p>
    <w:p>
      <w:pPr>
        <w:spacing w:line="540" w:lineRule="exact"/>
        <w:ind w:firstLine="422" w:firstLineChars="200"/>
        <w:jc w:val="both"/>
        <w:rPr>
          <w:rFonts w:ascii="仿宋_GB2312" w:eastAsia="仿宋_GB2312"/>
          <w:sz w:val="21"/>
          <w:szCs w:val="21"/>
          <w:u w:color="1C654D"/>
        </w:rPr>
      </w:pPr>
      <w:r>
        <w:rPr>
          <w:rFonts w:hint="eastAsia" w:ascii="仿宋_GB2312" w:eastAsia="仿宋_GB2312"/>
          <w:b/>
          <w:sz w:val="21"/>
          <w:szCs w:val="21"/>
          <w:u w:color="1C654D"/>
        </w:rPr>
        <w:t>第十五条</w:t>
      </w:r>
      <w:r>
        <w:rPr>
          <w:rFonts w:hint="eastAsia" w:ascii="仿宋_GB2312" w:eastAsia="仿宋_GB2312"/>
          <w:sz w:val="21"/>
          <w:szCs w:val="21"/>
          <w:u w:color="1C654D"/>
        </w:rPr>
        <w:t xml:space="preserve">  产假、婚假、丧假期间减免额定工作量，按具体请假时间减免。</w:t>
      </w:r>
    </w:p>
    <w:p>
      <w:pPr>
        <w:spacing w:line="540" w:lineRule="exact"/>
        <w:ind w:firstLine="422" w:firstLineChars="200"/>
        <w:jc w:val="both"/>
        <w:rPr>
          <w:rFonts w:ascii="仿宋_GB2312" w:eastAsia="仿宋_GB2312"/>
          <w:sz w:val="21"/>
          <w:szCs w:val="21"/>
          <w:u w:color="1C654D"/>
        </w:rPr>
      </w:pPr>
      <w:r>
        <w:rPr>
          <w:rFonts w:hint="eastAsia" w:ascii="仿宋_GB2312" w:eastAsia="仿宋_GB2312"/>
          <w:b/>
          <w:sz w:val="21"/>
          <w:szCs w:val="21"/>
          <w:u w:color="1C654D"/>
        </w:rPr>
        <w:t>第十六条</w:t>
      </w:r>
      <w:r>
        <w:rPr>
          <w:rFonts w:hint="eastAsia" w:ascii="仿宋_GB2312" w:eastAsia="仿宋_GB2312"/>
          <w:sz w:val="21"/>
          <w:szCs w:val="21"/>
          <w:u w:color="1C654D"/>
        </w:rPr>
        <w:t xml:space="preserve">  院内职务调整的，以学院文件为准，额定工作量变化从下文之日起执行。</w:t>
      </w:r>
    </w:p>
    <w:p>
      <w:pPr>
        <w:spacing w:line="540" w:lineRule="exact"/>
        <w:ind w:firstLine="422" w:firstLineChars="200"/>
        <w:jc w:val="both"/>
        <w:rPr>
          <w:rFonts w:ascii="仿宋_GB2312" w:eastAsia="仿宋_GB2312"/>
          <w:sz w:val="21"/>
          <w:szCs w:val="21"/>
          <w:u w:color="1C654D"/>
        </w:rPr>
      </w:pPr>
      <w:r>
        <w:rPr>
          <w:rFonts w:hint="eastAsia" w:ascii="仿宋_GB2312" w:eastAsia="仿宋_GB2312"/>
          <w:b/>
          <w:sz w:val="21"/>
          <w:szCs w:val="21"/>
          <w:u w:color="1C654D"/>
        </w:rPr>
        <w:t>第十七条</w:t>
      </w:r>
      <w:r>
        <w:rPr>
          <w:rFonts w:hint="eastAsia" w:ascii="仿宋_GB2312" w:eastAsia="仿宋_GB2312"/>
          <w:sz w:val="21"/>
          <w:szCs w:val="21"/>
          <w:u w:color="1C654D"/>
        </w:rPr>
        <w:t xml:space="preserve">  本办法在执行过程中，特殊情况需要补充调整的，需由教务处组织专家论证并报院长</w:t>
      </w:r>
      <w:r>
        <w:rPr>
          <w:rFonts w:hint="eastAsia" w:ascii="仿宋_GB2312" w:eastAsia="仿宋_GB2312"/>
          <w:sz w:val="21"/>
          <w:szCs w:val="21"/>
        </w:rPr>
        <w:t>、</w:t>
      </w:r>
      <w:r>
        <w:rPr>
          <w:rFonts w:hint="eastAsia" w:ascii="仿宋_GB2312" w:eastAsia="仿宋_GB2312"/>
          <w:sz w:val="21"/>
          <w:szCs w:val="21"/>
          <w:u w:color="1C654D"/>
        </w:rPr>
        <w:t>书记办公会</w:t>
      </w:r>
      <w:r>
        <w:rPr>
          <w:rFonts w:hint="eastAsia" w:ascii="仿宋_GB2312" w:eastAsia="仿宋_GB2312"/>
          <w:sz w:val="21"/>
          <w:szCs w:val="21"/>
        </w:rPr>
        <w:t>审定</w:t>
      </w:r>
      <w:r>
        <w:rPr>
          <w:rFonts w:hint="eastAsia" w:ascii="仿宋_GB2312" w:eastAsia="仿宋_GB2312"/>
          <w:sz w:val="21"/>
          <w:szCs w:val="21"/>
          <w:u w:color="1C654D"/>
        </w:rPr>
        <w:t>后方可执行。本办法自公布之日起实行，由教务处负责解释，此前涉及工作量和课时酬金计算方法与本办法不相符合的，以本办法为准。</w:t>
      </w:r>
    </w:p>
    <w:p>
      <w:pPr>
        <w:pStyle w:val="7"/>
        <w:shd w:val="clear" w:color="auto" w:fill="FCFCFC"/>
        <w:spacing w:before="0" w:beforeAutospacing="0" w:after="0" w:afterAutospacing="0" w:line="540" w:lineRule="exact"/>
        <w:ind w:firstLine="562" w:firstLineChars="200"/>
        <w:jc w:val="both"/>
        <w:rPr>
          <w:rFonts w:hint="eastAsia" w:ascii="仿宋_GB2312" w:eastAsia="仿宋_GB2312"/>
          <w:b/>
          <w:sz w:val="28"/>
          <w:szCs w:val="28"/>
          <w:u w:color="1C654D"/>
        </w:rPr>
      </w:pPr>
      <w:r>
        <w:rPr>
          <w:rFonts w:hint="eastAsia" w:ascii="仿宋_GB2312" w:eastAsia="仿宋_GB2312"/>
          <w:b/>
          <w:sz w:val="28"/>
          <w:szCs w:val="28"/>
          <w:u w:color="1C654D"/>
        </w:rPr>
        <w:t xml:space="preserve"> </w:t>
      </w:r>
    </w:p>
    <w:p>
      <w:pPr>
        <w:pStyle w:val="7"/>
        <w:shd w:val="clear" w:color="auto" w:fill="FCFCFC"/>
        <w:spacing w:before="0" w:beforeAutospacing="0" w:after="0" w:afterAutospacing="0" w:line="540" w:lineRule="exact"/>
        <w:ind w:firstLine="562" w:firstLineChars="200"/>
        <w:jc w:val="both"/>
        <w:rPr>
          <w:rFonts w:hint="eastAsia" w:ascii="仿宋_GB2312" w:eastAsia="仿宋_GB2312"/>
          <w:b/>
          <w:sz w:val="28"/>
          <w:szCs w:val="28"/>
          <w:u w:color="1C654D"/>
        </w:rPr>
      </w:pPr>
    </w:p>
    <w:p>
      <w:pPr>
        <w:pStyle w:val="7"/>
        <w:shd w:val="clear" w:color="auto" w:fill="FCFCFC"/>
        <w:spacing w:before="0" w:beforeAutospacing="0" w:after="0" w:afterAutospacing="0" w:line="540" w:lineRule="exact"/>
        <w:ind w:firstLine="562" w:firstLineChars="200"/>
        <w:jc w:val="both"/>
        <w:rPr>
          <w:rFonts w:hint="eastAsia" w:ascii="仿宋_GB2312" w:eastAsia="仿宋_GB2312"/>
          <w:b/>
          <w:sz w:val="28"/>
          <w:szCs w:val="28"/>
          <w:u w:color="1C654D"/>
        </w:rPr>
      </w:pPr>
    </w:p>
    <w:p>
      <w:pPr>
        <w:pStyle w:val="7"/>
        <w:shd w:val="clear" w:color="auto" w:fill="FCFCFC"/>
        <w:spacing w:before="0" w:beforeAutospacing="0" w:after="0" w:afterAutospacing="0" w:line="540" w:lineRule="exact"/>
        <w:ind w:firstLine="482" w:firstLineChars="200"/>
        <w:jc w:val="both"/>
        <w:rPr>
          <w:rFonts w:ascii="仿宋_GB2312" w:eastAsia="仿宋_GB2312"/>
          <w:b/>
          <w:u w:color="1C654D"/>
        </w:rPr>
      </w:pPr>
      <w:r>
        <w:rPr>
          <w:rFonts w:hint="eastAsia" w:ascii="仿宋_GB2312" w:eastAsia="仿宋_GB2312"/>
          <w:b/>
          <w:u w:color="1C654D"/>
        </w:rPr>
        <w:t>2. 《东莞理工学院城市学院教学工作量及课时酬金计算办法实施细则（试行）》</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ascii="仿宋_GB2312" w:eastAsia="仿宋_GB2312"/>
          <w:sz w:val="21"/>
          <w:szCs w:val="21"/>
          <w:u w:color="1C654D"/>
        </w:rPr>
        <w:t>为进一步</w:t>
      </w:r>
      <w:r>
        <w:rPr>
          <w:rFonts w:hint="eastAsia" w:ascii="仿宋_GB2312" w:eastAsia="仿宋_GB2312"/>
          <w:sz w:val="21"/>
          <w:szCs w:val="21"/>
          <w:u w:color="1C654D"/>
        </w:rPr>
        <w:t>明确《东莞理工学院城市学院教学工作量及课时酬金计算办法（试行）》（以下简称《办法》）中的相关规定，保证《办法》的顺利、有效执行，结合我院教学工作的实际情况，特制订本实施细则。</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一、理论教学</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（一）《办法》第四条中规定“教师承担多门课程的，第3、4门课计算该系数”，课程门数认定工作按以下要求执行。</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1.各教学单位于每学期第3周结束前报送当学期1位教师承担理论课程达到3门的教师情况汇总表（表格见附件1），课程门数认定原则如下：</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（1）课程依据的课程大纲不同且课程名称不同、讲授内容不同、使用教材不同的课程认定为不同课程，可按不同课程计算门数。</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（2）课称名称不同，但课程大纲规定的讲授内容基本相同的课程视为同一门课程。</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（3）课称名称不同，但使用相同教材的课程视为同一门课程。</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（4）课程名称相同，课程学时、学分不同，但使用教材相同的课程视为同一门课程。</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（5）同一门课程由两位教师任课的，门数系数计在上课学时数多的教师名下。</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（6）同一门课程由两位以上任课教师担任的，任课教师均不计算门数系数；</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（7）艺术类小课及只承担理论课中实验部分的，不计算门数系数。</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（8）课程总学时数小于16学时的，课程不纳入课程门数认定范围内。</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2.各单位教研室主任、教学单位负责人需按上述原则认真审核，并将确认结果报送教务处。</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3.教务处组织专家最终认定课程门数情况，各教学单位以认定结果为依据计算门数系数。</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（二）《办法》第四条中规定特殊课程系数“T＝0.2，双语教学课”，双语教学课程的申请审批工作按以下要求执行：</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1.</w:t>
      </w:r>
      <w:r>
        <w:rPr>
          <w:rFonts w:ascii="仿宋_GB2312" w:eastAsia="仿宋_GB2312"/>
          <w:sz w:val="21"/>
          <w:szCs w:val="21"/>
          <w:u w:color="1C654D"/>
        </w:rPr>
        <w:t xml:space="preserve"> 双语教学课程是指使用高质量的外文原版教材，在课堂教学中使用普通话的同时，60%以上的时间使用另一种通用外国语作为教学媒介语进行教学的课程。</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2.</w:t>
      </w:r>
      <w:r>
        <w:rPr>
          <w:rFonts w:ascii="仿宋_GB2312" w:eastAsia="仿宋_GB2312"/>
          <w:sz w:val="21"/>
          <w:szCs w:val="21"/>
          <w:u w:color="1C654D"/>
        </w:rPr>
        <w:t xml:space="preserve"> 开设双语教学课程的</w:t>
      </w:r>
      <w:r>
        <w:rPr>
          <w:rFonts w:hint="eastAsia" w:ascii="仿宋_GB2312" w:eastAsia="仿宋_GB2312"/>
          <w:sz w:val="21"/>
          <w:szCs w:val="21"/>
          <w:u w:color="1C654D"/>
        </w:rPr>
        <w:t>单位应认真做好双语教学课程的建设和管理工作，并于每学期第2周结束前填写《东莞理工学院城市学院双语教学课程建设申请表》（表格见附件2）。</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3.教务处组织专家对双语教学课程的建设申请情况进行充分研究评定，最终批准建设的双语教学课程在建设过程中按照双语教学课计算课程系数，未批准建设的课程暂不按双语课程计算特殊课程系数。</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4.双语教学课程建设期原则上为1年，1年后学院组织课程建设情况验收，未通过验收的不再按双语课程计算特殊课程系数；验收通过的，即认定为双语教学课，在教学过程中需按照双语教学课程要求开展各环节教学工作，学院按双语教学课程计算特殊课程系数。</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二、理工类课内实验教学</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《办法》第五条中规定“每批次实验课程的实际上课时间不能少于实验学时，实验批次超过2批的，第3批以后（含第3批）的人数计入第二批一并计算人数系数”，批次认定工作按以下要求执行：</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1. “每批次实验课程的实际上课时间不能少于实验学时”，举例说明：如果实验学时为2，分两批后实际上课时间不能少于4学时，如果在2学时内分组完成实验的，不认定为不同批次。</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2.批次认定以各单位报送的实验课表为准进行计算（如因特殊情况课程安排需变更的请按调课手续办理），实验课表中的实际上课时间与实验学时对应的，则认定为一批实验，实际学时为实验学时2倍以上的，则按2批计算；同一时间分两个教学班开展实验的，需分别注明实验主讲教师，同时按两位指导教师分别计算（实验员辅助完成实验的不单独计算）。</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三、实践教学</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（一）《办法》第六条“1.校内实践”中规定“教师固定时间、地点跟班指导，以班为单位集中开展的实践课程，教师需在实验室（机房）现场讲授、指导，学时数以人才培养方案及大纲规定为准， 1学分对应8、16、24、32四个学时标准”，具体解释如下：</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此类实践教学课程中1学分对应8、16、24、32学时，是指教师在实验室（机房）实际需要讲授、指导的学时数，不含学生单方练习的学时数，标准学时的计算按实际讲授、指导的学时计算。</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（二）《办法》第六条“1.校内实践”中规定各单位“需将集中指导的时间、地点报教务处备案，并严格按此执行，如调整按调课手续办理。”，具体报送方式及执行要求如下：</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各单位开学初组织教师填写的《东莞理工学院城市学院校内实践教学日历》（表格见附件3）即作为实践课程安排在教务处的备案材料，各单位无需再另行报送时间、地点安排，表中注明的时间、地点、讲授（指导）学时及内容等将作为实践课程的课程安排信息使用，教学检查等将以此为据，如各单位需变更的，请按调课手续办理。</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（三）《办法》第六条“2.校外实习”中规定 “由各教学单位按要求完成实习工作，并交实习情况表及实习总结材料至教务处审核及认定工作量。”具体报送方式及执行要求如下：</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教师下现场指导实习的，各单位需在实习指导工作结束后1周内提交《实践教学环节执行情况记录表》（表格见附件4）到教务处实践办认定教学工作量，超过时间补报材料的不认定教学工作量。</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（四）《办法》第六条“3. 毕业论文(设计)、毕业实习(含第8学期各类实践)、毕业教育”中规定“各学生单位按3%的比例报送优秀毕业论文（设计），优秀毕业论文（设计）指导工作奖励工作量为理工类本科毕业设计奖励5个标准学时，非理工类本科毕业设计及本科毕业论文奖励4个标准学时”，具体报送方式及执行要求如下：</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1.各单位需在毕业论文答辩工作结束1周内，完成优秀毕业论文的推选工作，将优秀毕业论文推荐汇总表（表格见附件5）报送到教务处实践办。</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2.各单位需在报送工作结束后2周内组织教师填写优秀毕业论文推荐表（表格见附表6），并由教师指导学生完成优秀毕业论文的编辑工作，每篇论文编辑完成后的字数为3000-4000字。</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3.上述工作完成后，教务处将在工作量计算工作中认定教师的优秀毕业论文（设计）指导工作奖励工作量。</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四、课外学分</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1.《办法》第七条所规定的课外学分标准学时数需单独计算，由各学生所属单位根据工作情况分配对应的标准学时数，并按相关要求报送教务处，最终由教务处组织认定。</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2.院内有学年度额定教学工作量要求的教师完成课外学分管理工作后，认定的相应工作量不计入教师总工作量进行考核。</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3.院内无学年度额定教学工作量要求的教师完成课外学分管理工作后，认定的相应工作量不计入《办法》第八条规定的“72”节限制范围内。</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五、额定标准学时</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1.《办法》第八条中规定“院内无‘学年度额定教学工作量 ’要求的教师，按实际承担的教学任务情况计算教学工作量，其中上班时间承担任务以每周4节课为上限（实践课程按标准学时同比计算节数），每学期按18周计算，1学期合计72节，超出部分不计课酬，但上班时间之外完成的教学任务不计算在限制内”，其中上班时间是指学院行政班工作时间，上午8：30至12：10分，下午14：30至17：30，占用此部分时间完成的教学工作需计算在限制内，此时间外（晚上、周末等时间）完成的教学工作不计算在限制内。</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2. 《办法》第八条中规定“教学系（部）主任、书记（兼）、副主任（兼）、主任助理（兼）每学期超工作量限制的标准学时数为144，其中理论课上限为72节课，指导毕业论文（设计）、毕业实习的工作量不计入限制标准学时数，超出限制范围的不计课酬”，具体解释如下：</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（1）其中“标准学时数为144”：即指理论课程乘以课程系数另加实践课程后总的标准学时数；</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（2）“72节课”：即理论课程实际上课的课程节数。如遇多门理论课的课程系数不同时，按总标准学时数除以各课程的总节数计算平均系数，再根据超出的标准学时数除以平均系数所得值确定具体节数。</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（3）此点限制是指理论与实践教学总标准学时不可超过144个标准学时，同时其中的理论课不能超过72节。</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3.《办法》第八条中规定“因教学需要等特殊情况超出限制的，需于承担任务之前报教务处审核，报分管院领导审批后方可计算课酬”。该项是要求各单位在安排教学任务的过程中需认真考虑教师超工作量限制问题，原则上需控制在规定范围内，特殊情况超出限制的需在课程安排之前先审批，再执行，否则不予批准。</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4.单位课时酬金标准，博士按中级职称标准计算单位课酬。</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5.《办法》第十五条中规定“产假、婚假、丧假期间减免额定工作量，按具体请假时间减免”。所指请假时间是指请假申请表中批准的请假起止时间，减免标准学时数量按以下公式计算：减免标准学时数量=学期额定工作量÷（18×5）×请假的工作日天数（其它方面涉及额定工作量减免的同样按此公式计算）。</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六、其他说明</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1.外聘教师课酬按月结算，分批次发放。</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2.本实施细则办法自公布之日起执行，具体由教务处负责解释。</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附表</w:t>
      </w:r>
      <w:r>
        <w:rPr>
          <w:rFonts w:ascii="仿宋_GB2312" w:eastAsia="仿宋_GB2312"/>
          <w:sz w:val="21"/>
          <w:szCs w:val="21"/>
          <w:u w:color="1C654D"/>
        </w:rPr>
        <w:t>：</w:t>
      </w:r>
      <w:r>
        <w:rPr>
          <w:rFonts w:hint="eastAsia" w:ascii="仿宋_GB2312" w:eastAsia="仿宋_GB2312"/>
          <w:sz w:val="21"/>
          <w:szCs w:val="21"/>
          <w:u w:color="1C654D"/>
        </w:rPr>
        <w:t xml:space="preserve"> 1. 20   --20  学年第  学期教师上课门数认定情况汇总表</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 xml:space="preserve">       2.东莞理工学院城市学院双语教学课程建设申请表</w:t>
      </w:r>
    </w:p>
    <w:p>
      <w:pPr>
        <w:pStyle w:val="7"/>
        <w:shd w:val="clear" w:color="auto" w:fill="FCFCFC"/>
        <w:spacing w:before="0" w:beforeAutospacing="0" w:after="0" w:afterAutospacing="0" w:line="540" w:lineRule="exact"/>
        <w:ind w:firstLine="480"/>
        <w:jc w:val="both"/>
        <w:rPr>
          <w:rFonts w:ascii="仿宋_GB2312" w:eastAsia="仿宋_GB2312"/>
          <w:sz w:val="21"/>
          <w:szCs w:val="21"/>
          <w:u w:color="1C654D"/>
        </w:rPr>
      </w:pPr>
      <w:r>
        <w:rPr>
          <w:rFonts w:hint="eastAsia" w:ascii="仿宋_GB2312" w:eastAsia="仿宋_GB2312"/>
          <w:sz w:val="21"/>
          <w:szCs w:val="21"/>
          <w:u w:color="1C654D"/>
        </w:rPr>
        <w:t xml:space="preserve">       3.东莞理工学院城市学院校内实践教学日历</w:t>
      </w:r>
    </w:p>
    <w:p>
      <w:pPr>
        <w:pStyle w:val="7"/>
        <w:shd w:val="clear" w:color="auto" w:fill="FCFCFC"/>
        <w:spacing w:before="0" w:beforeAutospacing="0" w:after="0" w:afterAutospacing="0" w:line="540" w:lineRule="exact"/>
        <w:ind w:firstLine="1213" w:firstLineChars="578"/>
        <w:jc w:val="both"/>
        <w:rPr>
          <w:rFonts w:ascii="仿宋_GB2312" w:eastAsia="仿宋_GB2312"/>
          <w:sz w:val="21"/>
          <w:szCs w:val="21"/>
          <w:u w:color="1C654D"/>
        </w:rPr>
      </w:pPr>
      <w:r>
        <w:rPr>
          <w:rFonts w:hint="eastAsia" w:ascii="仿宋_GB2312" w:eastAsia="仿宋_GB2312"/>
          <w:sz w:val="21"/>
          <w:szCs w:val="21"/>
          <w:u w:color="1C654D"/>
        </w:rPr>
        <w:t>4.实践教学环节执行情况记录表(本院教师用表）</w:t>
      </w:r>
    </w:p>
    <w:p>
      <w:pPr>
        <w:pStyle w:val="7"/>
        <w:shd w:val="clear" w:color="auto" w:fill="FCFCFC"/>
        <w:spacing w:before="0" w:beforeAutospacing="0" w:after="0" w:afterAutospacing="0" w:line="540" w:lineRule="exact"/>
        <w:ind w:firstLine="1213" w:firstLineChars="578"/>
        <w:jc w:val="both"/>
        <w:rPr>
          <w:rFonts w:ascii="仿宋_GB2312" w:eastAsia="仿宋_GB2312"/>
          <w:sz w:val="21"/>
          <w:szCs w:val="21"/>
          <w:u w:color="1C654D"/>
        </w:rPr>
      </w:pPr>
      <w:r>
        <w:rPr>
          <w:rFonts w:hint="eastAsia" w:ascii="仿宋_GB2312" w:eastAsia="仿宋_GB2312"/>
          <w:sz w:val="21"/>
          <w:szCs w:val="21"/>
          <w:u w:color="1C654D"/>
        </w:rPr>
        <w:t>5.届校级本科优秀毕业论文（设计）推荐汇总表</w:t>
      </w:r>
    </w:p>
    <w:p>
      <w:pPr>
        <w:pStyle w:val="7"/>
        <w:shd w:val="clear" w:color="auto" w:fill="FCFCFC"/>
        <w:spacing w:before="0" w:beforeAutospacing="0" w:after="0" w:afterAutospacing="0" w:line="540" w:lineRule="exact"/>
        <w:ind w:firstLine="1213" w:firstLineChars="578"/>
        <w:jc w:val="both"/>
        <w:rPr>
          <w:rFonts w:ascii="仿宋_GB2312" w:eastAsia="仿宋_GB2312"/>
          <w:sz w:val="21"/>
          <w:szCs w:val="21"/>
          <w:u w:color="1C654D"/>
        </w:rPr>
      </w:pPr>
      <w:r>
        <w:rPr>
          <w:rFonts w:hint="eastAsia" w:ascii="仿宋_GB2312" w:eastAsia="仿宋_GB2312"/>
          <w:sz w:val="21"/>
          <w:szCs w:val="21"/>
          <w:u w:color="1C654D"/>
        </w:rPr>
        <w:t>6.届校级本科优秀毕业论文（设计）推荐表</w:t>
      </w:r>
    </w:p>
    <w:p>
      <w:pPr>
        <w:spacing w:line="280" w:lineRule="exact"/>
        <w:ind w:firstLine="200"/>
        <w:rPr>
          <w:rFonts w:ascii="仿宋_GB2312" w:hAnsi="宋体" w:eastAsia="仿宋_GB2312"/>
          <w:sz w:val="28"/>
          <w:szCs w:val="28"/>
        </w:rPr>
      </w:pPr>
    </w:p>
    <w:p>
      <w:pPr>
        <w:ind w:firstLine="482" w:firstLineChars="200"/>
        <w:rPr>
          <w:rFonts w:hint="eastAsia" w:ascii="仿宋_GB2312" w:hAnsi="仿宋" w:eastAsia="仿宋_GB2312" w:cs="仿宋_GB2312"/>
          <w:b/>
          <w:spacing w:val="-20"/>
          <w:sz w:val="28"/>
          <w:szCs w:val="28"/>
        </w:rPr>
      </w:pPr>
    </w:p>
    <w:p>
      <w:pPr>
        <w:ind w:firstLine="482" w:firstLineChars="200"/>
        <w:rPr>
          <w:rFonts w:hint="eastAsia" w:ascii="仿宋_GB2312" w:hAnsi="仿宋" w:eastAsia="仿宋_GB2312" w:cs="仿宋_GB2312"/>
          <w:b/>
          <w:spacing w:val="-20"/>
          <w:sz w:val="28"/>
          <w:szCs w:val="28"/>
        </w:rPr>
      </w:pPr>
    </w:p>
    <w:p>
      <w:pPr>
        <w:ind w:firstLine="482" w:firstLineChars="200"/>
        <w:rPr>
          <w:rFonts w:hint="eastAsia" w:ascii="仿宋_GB2312" w:hAnsi="仿宋" w:eastAsia="仿宋_GB2312" w:cs="仿宋_GB2312"/>
          <w:b/>
          <w:spacing w:val="-20"/>
          <w:sz w:val="28"/>
          <w:szCs w:val="28"/>
        </w:rPr>
      </w:pPr>
    </w:p>
    <w:p>
      <w:pPr>
        <w:ind w:firstLine="482" w:firstLineChars="200"/>
        <w:rPr>
          <w:rFonts w:hint="eastAsia" w:ascii="仿宋_GB2312" w:hAnsi="仿宋" w:eastAsia="仿宋_GB2312" w:cs="仿宋_GB2312"/>
          <w:b/>
          <w:spacing w:val="-20"/>
          <w:sz w:val="28"/>
          <w:szCs w:val="28"/>
        </w:rPr>
      </w:pPr>
    </w:p>
    <w:p>
      <w:pPr>
        <w:ind w:firstLine="482" w:firstLineChars="200"/>
        <w:rPr>
          <w:rFonts w:hint="eastAsia" w:ascii="仿宋_GB2312" w:hAnsi="仿宋" w:eastAsia="仿宋_GB2312" w:cs="仿宋_GB2312"/>
          <w:b/>
          <w:spacing w:val="-20"/>
          <w:sz w:val="28"/>
          <w:szCs w:val="28"/>
        </w:rPr>
      </w:pPr>
    </w:p>
    <w:p>
      <w:pPr>
        <w:ind w:firstLine="482" w:firstLineChars="200"/>
        <w:rPr>
          <w:rFonts w:hint="eastAsia" w:ascii="仿宋_GB2312" w:hAnsi="仿宋" w:eastAsia="仿宋_GB2312" w:cs="仿宋_GB2312"/>
          <w:b/>
          <w:spacing w:val="-20"/>
          <w:sz w:val="28"/>
          <w:szCs w:val="28"/>
        </w:rPr>
      </w:pPr>
    </w:p>
    <w:p>
      <w:pPr>
        <w:ind w:firstLine="482" w:firstLineChars="200"/>
        <w:rPr>
          <w:rFonts w:hint="eastAsia" w:ascii="仿宋_GB2312" w:hAnsi="仿宋" w:eastAsia="仿宋_GB2312" w:cs="仿宋_GB2312"/>
          <w:b/>
          <w:spacing w:val="-20"/>
          <w:sz w:val="28"/>
          <w:szCs w:val="28"/>
        </w:rPr>
      </w:pPr>
    </w:p>
    <w:p>
      <w:pPr>
        <w:ind w:firstLine="482" w:firstLineChars="200"/>
        <w:rPr>
          <w:rFonts w:hint="eastAsia" w:ascii="仿宋_GB2312" w:hAnsi="仿宋" w:eastAsia="仿宋_GB2312" w:cs="仿宋_GB2312"/>
          <w:b/>
          <w:spacing w:val="-20"/>
          <w:sz w:val="28"/>
          <w:szCs w:val="28"/>
        </w:rPr>
      </w:pPr>
    </w:p>
    <w:p>
      <w:pPr>
        <w:ind w:firstLine="405"/>
        <w:rPr>
          <w:rFonts w:hint="eastAsia"/>
          <w:b/>
          <w:bCs/>
          <w:sz w:val="24"/>
          <w:szCs w:val="24"/>
        </w:rPr>
      </w:pPr>
      <w:r>
        <w:rPr>
          <w:rFonts w:hint="eastAsia"/>
          <w:b/>
          <w:sz w:val="24"/>
          <w:szCs w:val="24"/>
        </w:rPr>
        <w:t>六、教学单位秘书</w:t>
      </w:r>
      <w:r>
        <w:rPr>
          <w:rFonts w:hint="eastAsia"/>
          <w:b/>
          <w:bCs/>
          <w:sz w:val="24"/>
          <w:szCs w:val="24"/>
        </w:rPr>
        <w:t>考核具体功能描述</w:t>
      </w:r>
    </w:p>
    <w:p>
      <w:pPr>
        <w:spacing w:line="540" w:lineRule="exact"/>
        <w:ind w:firstLine="462" w:firstLineChars="220"/>
        <w:jc w:val="both"/>
        <w:rPr>
          <w:rFonts w:ascii="仿宋_GB2312" w:eastAsia="仿宋_GB2312"/>
          <w:sz w:val="21"/>
          <w:szCs w:val="21"/>
        </w:rPr>
      </w:pPr>
      <w:r>
        <w:rPr>
          <w:rFonts w:hint="eastAsia" w:ascii="仿宋_GB2312" w:eastAsia="仿宋_GB2312"/>
          <w:sz w:val="21"/>
          <w:szCs w:val="21"/>
        </w:rPr>
        <w:t>一.考核内容</w:t>
      </w:r>
    </w:p>
    <w:p>
      <w:pPr>
        <w:spacing w:line="540" w:lineRule="exact"/>
        <w:ind w:firstLine="462" w:firstLineChars="220"/>
        <w:jc w:val="both"/>
        <w:rPr>
          <w:rFonts w:ascii="仿宋_GB2312" w:eastAsia="仿宋_GB2312"/>
          <w:sz w:val="21"/>
          <w:szCs w:val="21"/>
        </w:rPr>
      </w:pPr>
      <w:r>
        <w:rPr>
          <w:rFonts w:hint="eastAsia" w:ascii="仿宋_GB2312" w:eastAsia="仿宋_GB2312"/>
          <w:sz w:val="21"/>
          <w:szCs w:val="21"/>
        </w:rPr>
        <w:t>1.教学运行工作（15分）</w:t>
      </w:r>
    </w:p>
    <w:p>
      <w:pPr>
        <w:spacing w:line="540" w:lineRule="exact"/>
        <w:ind w:firstLine="462" w:firstLineChars="220"/>
        <w:jc w:val="both"/>
        <w:rPr>
          <w:rFonts w:ascii="仿宋_GB2312" w:eastAsia="仿宋_GB2312"/>
          <w:sz w:val="21"/>
          <w:szCs w:val="21"/>
        </w:rPr>
      </w:pPr>
      <w:r>
        <w:rPr>
          <w:rFonts w:hint="eastAsia" w:ascii="仿宋_GB2312" w:eastAsia="仿宋_GB2312"/>
          <w:sz w:val="21"/>
          <w:szCs w:val="21"/>
        </w:rPr>
        <w:t>2.考试管理工作（9分）</w:t>
      </w:r>
    </w:p>
    <w:p>
      <w:pPr>
        <w:spacing w:line="540" w:lineRule="exact"/>
        <w:ind w:firstLine="462" w:firstLineChars="220"/>
        <w:jc w:val="both"/>
        <w:rPr>
          <w:rFonts w:ascii="仿宋_GB2312" w:eastAsia="仿宋_GB2312"/>
          <w:sz w:val="21"/>
          <w:szCs w:val="21"/>
        </w:rPr>
      </w:pPr>
      <w:r>
        <w:rPr>
          <w:rFonts w:hint="eastAsia" w:ascii="仿宋_GB2312" w:eastAsia="仿宋_GB2312"/>
          <w:sz w:val="21"/>
          <w:szCs w:val="21"/>
        </w:rPr>
        <w:t>3.学籍管理工作（6分）</w:t>
      </w:r>
    </w:p>
    <w:p>
      <w:pPr>
        <w:spacing w:line="540" w:lineRule="exact"/>
        <w:ind w:firstLine="462" w:firstLineChars="220"/>
        <w:jc w:val="both"/>
        <w:rPr>
          <w:rFonts w:ascii="仿宋_GB2312" w:eastAsia="仿宋_GB2312"/>
          <w:sz w:val="21"/>
          <w:szCs w:val="21"/>
        </w:rPr>
      </w:pPr>
      <w:r>
        <w:rPr>
          <w:rFonts w:hint="eastAsia" w:ascii="仿宋_GB2312" w:eastAsia="仿宋_GB2312"/>
          <w:sz w:val="21"/>
          <w:szCs w:val="21"/>
        </w:rPr>
        <w:t>4.实践教学管理工作（4分）</w:t>
      </w:r>
    </w:p>
    <w:p>
      <w:pPr>
        <w:spacing w:line="540" w:lineRule="exact"/>
        <w:ind w:firstLine="462" w:firstLineChars="220"/>
        <w:jc w:val="both"/>
        <w:rPr>
          <w:rFonts w:ascii="仿宋_GB2312" w:eastAsia="仿宋_GB2312"/>
          <w:sz w:val="21"/>
          <w:szCs w:val="21"/>
        </w:rPr>
      </w:pPr>
      <w:r>
        <w:rPr>
          <w:rFonts w:hint="eastAsia" w:ascii="仿宋_GB2312" w:eastAsia="仿宋_GB2312"/>
          <w:sz w:val="21"/>
          <w:szCs w:val="21"/>
        </w:rPr>
        <w:t>5.教研管理工作（2分）</w:t>
      </w:r>
    </w:p>
    <w:p>
      <w:pPr>
        <w:spacing w:line="540" w:lineRule="exact"/>
        <w:ind w:firstLine="462" w:firstLineChars="220"/>
        <w:jc w:val="both"/>
        <w:rPr>
          <w:rFonts w:ascii="仿宋_GB2312" w:eastAsia="仿宋_GB2312"/>
          <w:sz w:val="21"/>
          <w:szCs w:val="21"/>
        </w:rPr>
      </w:pPr>
      <w:r>
        <w:rPr>
          <w:rFonts w:hint="eastAsia" w:ascii="仿宋_GB2312" w:eastAsia="仿宋_GB2312"/>
          <w:sz w:val="21"/>
          <w:szCs w:val="21"/>
        </w:rPr>
        <w:t>6.科研管理工作（2分）</w:t>
      </w:r>
    </w:p>
    <w:p>
      <w:pPr>
        <w:spacing w:line="540" w:lineRule="exact"/>
        <w:ind w:firstLine="462" w:firstLineChars="220"/>
        <w:jc w:val="both"/>
        <w:rPr>
          <w:rFonts w:ascii="仿宋_GB2312" w:eastAsia="仿宋_GB2312"/>
          <w:sz w:val="21"/>
          <w:szCs w:val="21"/>
        </w:rPr>
      </w:pPr>
      <w:r>
        <w:rPr>
          <w:rFonts w:hint="eastAsia" w:ascii="仿宋_GB2312" w:eastAsia="仿宋_GB2312"/>
          <w:sz w:val="21"/>
          <w:szCs w:val="21"/>
        </w:rPr>
        <w:t>7.综合评价（2分）</w:t>
      </w:r>
    </w:p>
    <w:p>
      <w:pPr>
        <w:spacing w:line="540" w:lineRule="exact"/>
        <w:ind w:firstLine="462" w:firstLineChars="220"/>
        <w:jc w:val="both"/>
        <w:rPr>
          <w:rFonts w:ascii="仿宋_GB2312" w:eastAsia="仿宋_GB2312"/>
          <w:sz w:val="21"/>
          <w:szCs w:val="21"/>
        </w:rPr>
      </w:pPr>
      <w:r>
        <w:rPr>
          <w:rFonts w:hint="eastAsia" w:ascii="仿宋_GB2312" w:eastAsia="仿宋_GB2312"/>
          <w:sz w:val="21"/>
          <w:szCs w:val="21"/>
        </w:rPr>
        <w:t>8.秘书按实际工作内容确定参与评价的具体指标，最终按比例折算总得分。</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二、说明</w:t>
      </w:r>
    </w:p>
    <w:p>
      <w:pPr>
        <w:spacing w:line="540" w:lineRule="exact"/>
        <w:ind w:firstLine="462" w:firstLineChars="220"/>
        <w:jc w:val="both"/>
        <w:rPr>
          <w:rFonts w:ascii="仿宋_GB2312" w:eastAsia="仿宋_GB2312"/>
          <w:sz w:val="21"/>
          <w:szCs w:val="21"/>
        </w:rPr>
      </w:pPr>
      <w:r>
        <w:rPr>
          <w:rFonts w:hint="eastAsia" w:ascii="仿宋_GB2312" w:eastAsia="仿宋_GB2312"/>
          <w:sz w:val="21"/>
          <w:szCs w:val="21"/>
        </w:rPr>
        <w:t>1.工作主管部门组织完成秘书 “工作主管部门评价”部分的评分工作，并根据参评得分情况按比例折算总得分后进行排名，排名结果进入前40%的秘书可具备在系（部）参与评优的资格。</w:t>
      </w:r>
    </w:p>
    <w:p>
      <w:pPr>
        <w:spacing w:line="540" w:lineRule="exact"/>
        <w:ind w:firstLine="462" w:firstLineChars="220"/>
        <w:jc w:val="both"/>
        <w:rPr>
          <w:rFonts w:ascii="仿宋_GB2312" w:eastAsia="仿宋_GB2312"/>
          <w:sz w:val="21"/>
          <w:szCs w:val="21"/>
        </w:rPr>
      </w:pPr>
      <w:r>
        <w:rPr>
          <w:rFonts w:hint="eastAsia" w:ascii="仿宋_GB2312" w:eastAsia="仿宋_GB2312"/>
          <w:sz w:val="21"/>
          <w:szCs w:val="21"/>
        </w:rPr>
        <w:t>2.各秘书按实际工作内容确定参与评价的具体指标，工作主管部门考核指标中参评分数低于本单位秘书参评平均分75%的，不具备评优资格。</w:t>
      </w:r>
    </w:p>
    <w:p>
      <w:pPr>
        <w:spacing w:line="540" w:lineRule="exact"/>
        <w:ind w:firstLine="462" w:firstLineChars="220"/>
        <w:jc w:val="both"/>
        <w:rPr>
          <w:rFonts w:ascii="仿宋_GB2312" w:eastAsia="仿宋_GB2312"/>
          <w:sz w:val="21"/>
          <w:szCs w:val="21"/>
        </w:rPr>
      </w:pPr>
      <w:r>
        <w:rPr>
          <w:rFonts w:hint="eastAsia" w:ascii="仿宋_GB2312" w:eastAsia="仿宋_GB2312"/>
          <w:sz w:val="21"/>
          <w:szCs w:val="21"/>
        </w:rPr>
        <w:t>3.工作主管部门考核总分中有严重差错事件的减1分，认定四级教学事故的减2分，认定三级教学事故的减3分，认定二级教学事故的减5分，认定一级教学事故的减10分，同时按《东莞理工学院城市学院教学事故认定及处理规定》的相关要求确定考核结果。</w:t>
      </w:r>
    </w:p>
    <w:p>
      <w:pPr>
        <w:spacing w:line="540" w:lineRule="exact"/>
        <w:ind w:firstLine="462" w:firstLineChars="220"/>
        <w:jc w:val="both"/>
        <w:rPr>
          <w:rFonts w:hint="eastAsia" w:ascii="仿宋_GB2312" w:eastAsia="仿宋_GB2312"/>
          <w:sz w:val="21"/>
          <w:szCs w:val="21"/>
        </w:rPr>
      </w:pPr>
      <w:r>
        <w:rPr>
          <w:rFonts w:hint="eastAsia" w:ascii="仿宋_GB2312" w:eastAsia="仿宋_GB2312"/>
          <w:sz w:val="21"/>
          <w:szCs w:val="21"/>
        </w:rPr>
        <w:t>4. 计算秘书任务分值：按照当学年额定标准学时排名加权5，专业数排名加权2，学生数排名加权3综合计算，并结合秘书工作参评总分数，将前述两项综合排名，确定任务最重的秘书在工作主管部门考核总分中给予加分，第1-2名加1.5分，第3-4名加1.2分，第5-6名加0.9分，第7-8名加0.6分。</w:t>
      </w:r>
    </w:p>
    <w:p>
      <w:pPr>
        <w:spacing w:line="540" w:lineRule="exact"/>
        <w:ind w:firstLine="462" w:firstLineChars="220"/>
        <w:jc w:val="both"/>
        <w:rPr>
          <w:rFonts w:ascii="仿宋_GB2312" w:eastAsia="仿宋_GB2312"/>
          <w:sz w:val="21"/>
          <w:szCs w:val="21"/>
        </w:rPr>
      </w:pPr>
      <w:r>
        <w:rPr>
          <w:rFonts w:hint="eastAsia" w:ascii="仿宋_GB2312" w:eastAsia="仿宋_GB2312"/>
          <w:sz w:val="21"/>
          <w:szCs w:val="21"/>
        </w:rPr>
        <w:t>三、考核指标内容</w:t>
      </w:r>
    </w:p>
    <w:p>
      <w:pPr>
        <w:spacing w:line="200" w:lineRule="exact"/>
        <w:rPr>
          <w:rFonts w:hint="eastAsia"/>
          <w:b/>
          <w:sz w:val="21"/>
          <w:szCs w:val="21"/>
        </w:rPr>
      </w:pPr>
    </w:p>
    <w:p>
      <w:pPr>
        <w:spacing w:line="200" w:lineRule="exact"/>
        <w:rPr>
          <w:rFonts w:hint="eastAsia"/>
          <w:b/>
          <w:sz w:val="21"/>
          <w:szCs w:val="21"/>
        </w:rPr>
      </w:pPr>
    </w:p>
    <w:tbl>
      <w:tblPr>
        <w:tblStyle w:val="9"/>
        <w:tblpPr w:leftFromText="180" w:rightFromText="180" w:vertAnchor="page" w:horzAnchor="margin" w:tblpY="4310"/>
        <w:tblW w:w="8613" w:type="dxa"/>
        <w:tblInd w:w="0" w:type="dxa"/>
        <w:tblLayout w:type="fixed"/>
        <w:tblCellMar>
          <w:top w:w="0" w:type="dxa"/>
          <w:left w:w="108" w:type="dxa"/>
          <w:bottom w:w="0" w:type="dxa"/>
          <w:right w:w="108" w:type="dxa"/>
        </w:tblCellMar>
      </w:tblPr>
      <w:tblGrid>
        <w:gridCol w:w="942"/>
        <w:gridCol w:w="2835"/>
        <w:gridCol w:w="4836"/>
      </w:tblGrid>
      <w:tr>
        <w:tblPrEx>
          <w:tblLayout w:type="fixed"/>
          <w:tblCellMar>
            <w:top w:w="0" w:type="dxa"/>
            <w:left w:w="108" w:type="dxa"/>
            <w:bottom w:w="0" w:type="dxa"/>
            <w:right w:w="108" w:type="dxa"/>
          </w:tblCellMar>
        </w:tblPrEx>
        <w:trPr>
          <w:trHeight w:val="558" w:hRule="atLeast"/>
        </w:trPr>
        <w:tc>
          <w:tcPr>
            <w:tcW w:w="942"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宋体" w:hAnsi="宋体" w:cs="宋体"/>
                <w:b/>
                <w:bCs/>
                <w:sz w:val="18"/>
                <w:szCs w:val="18"/>
              </w:rPr>
            </w:pPr>
            <w:r>
              <w:rPr>
                <w:rFonts w:hint="eastAsia" w:ascii="宋体" w:hAnsi="宋体" w:cs="宋体"/>
                <w:b/>
                <w:bCs/>
                <w:sz w:val="18"/>
                <w:szCs w:val="18"/>
              </w:rPr>
              <w:t>项目</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hint="eastAsia" w:ascii="宋体" w:hAnsi="宋体" w:cs="宋体"/>
                <w:b/>
                <w:bCs/>
                <w:color w:val="000000"/>
                <w:sz w:val="18"/>
                <w:szCs w:val="18"/>
              </w:rPr>
            </w:pPr>
            <w:r>
              <w:rPr>
                <w:rFonts w:hint="eastAsia" w:ascii="宋体" w:hAnsi="宋体" w:cs="宋体"/>
                <w:b/>
                <w:bCs/>
                <w:color w:val="000000"/>
                <w:sz w:val="18"/>
                <w:szCs w:val="18"/>
              </w:rPr>
              <w:t>标准说明</w:t>
            </w:r>
          </w:p>
        </w:tc>
        <w:tc>
          <w:tcPr>
            <w:tcW w:w="4836"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hint="eastAsia" w:ascii="宋体" w:hAnsi="宋体" w:cs="宋体"/>
                <w:b/>
                <w:bCs/>
                <w:color w:val="000000"/>
                <w:sz w:val="18"/>
                <w:szCs w:val="18"/>
              </w:rPr>
            </w:pPr>
            <w:r>
              <w:rPr>
                <w:rFonts w:hint="eastAsia" w:ascii="宋体" w:hAnsi="宋体" w:cs="宋体"/>
                <w:b/>
                <w:bCs/>
                <w:color w:val="000000"/>
                <w:sz w:val="18"/>
                <w:szCs w:val="18"/>
              </w:rPr>
              <w:t>计分标准</w:t>
            </w:r>
          </w:p>
        </w:tc>
      </w:tr>
      <w:tr>
        <w:tblPrEx>
          <w:tblLayout w:type="fixed"/>
          <w:tblCellMar>
            <w:top w:w="0" w:type="dxa"/>
            <w:left w:w="108" w:type="dxa"/>
            <w:bottom w:w="0" w:type="dxa"/>
            <w:right w:w="108" w:type="dxa"/>
          </w:tblCellMar>
        </w:tblPrEx>
        <w:trPr>
          <w:trHeight w:val="1045" w:hRule="atLeast"/>
        </w:trPr>
        <w:tc>
          <w:tcPr>
            <w:tcW w:w="942" w:type="dxa"/>
            <w:vMerge w:val="restart"/>
            <w:tcBorders>
              <w:top w:val="nil"/>
              <w:left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教学运行工作（15分）</w:t>
            </w:r>
          </w:p>
          <w:p>
            <w:pPr>
              <w:spacing w:line="200" w:lineRule="exact"/>
              <w:rPr>
                <w:rFonts w:ascii="宋体" w:hAnsi="宋体" w:cs="宋体"/>
                <w:sz w:val="18"/>
                <w:szCs w:val="18"/>
              </w:rPr>
            </w:pPr>
          </w:p>
        </w:tc>
        <w:tc>
          <w:tcPr>
            <w:tcW w:w="2835"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教学计划、课表编排，教学任务管理相关工作（4分）</w:t>
            </w:r>
          </w:p>
        </w:tc>
        <w:tc>
          <w:tcPr>
            <w:tcW w:w="4836"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1.及时无差错4分</w:t>
            </w:r>
            <w:r>
              <w:rPr>
                <w:rFonts w:hint="eastAsia" w:ascii="宋体" w:hAnsi="宋体" w:cs="宋体"/>
                <w:sz w:val="18"/>
                <w:szCs w:val="18"/>
              </w:rPr>
              <w:br w:type="textWrapping"/>
            </w:r>
            <w:r>
              <w:rPr>
                <w:rFonts w:hint="eastAsia" w:ascii="宋体" w:hAnsi="宋体" w:cs="宋体"/>
                <w:sz w:val="18"/>
                <w:szCs w:val="18"/>
              </w:rPr>
              <w:t>2.不够及时或出现差错3次以下3.2分（含3次）</w:t>
            </w:r>
            <w:r>
              <w:rPr>
                <w:rFonts w:hint="eastAsia" w:ascii="宋体" w:hAnsi="宋体" w:cs="宋体"/>
                <w:sz w:val="18"/>
                <w:szCs w:val="18"/>
              </w:rPr>
              <w:br w:type="textWrapping"/>
            </w:r>
            <w:r>
              <w:rPr>
                <w:rFonts w:hint="eastAsia" w:ascii="宋体" w:hAnsi="宋体" w:cs="宋体"/>
                <w:sz w:val="18"/>
                <w:szCs w:val="18"/>
              </w:rPr>
              <w:t>3.出现差错4-5次2.4分</w:t>
            </w:r>
            <w:r>
              <w:rPr>
                <w:rFonts w:hint="eastAsia" w:ascii="宋体" w:hAnsi="宋体" w:cs="宋体"/>
                <w:sz w:val="18"/>
                <w:szCs w:val="18"/>
              </w:rPr>
              <w:br w:type="textWrapping"/>
            </w:r>
            <w:r>
              <w:rPr>
                <w:rFonts w:hint="eastAsia" w:ascii="宋体" w:hAnsi="宋体" w:cs="宋体"/>
                <w:sz w:val="18"/>
                <w:szCs w:val="18"/>
              </w:rPr>
              <w:t>4.出现差错6次以上2分（含6次）</w:t>
            </w:r>
          </w:p>
        </w:tc>
      </w:tr>
      <w:tr>
        <w:tblPrEx>
          <w:tblLayout w:type="fixed"/>
          <w:tblCellMar>
            <w:top w:w="0" w:type="dxa"/>
            <w:left w:w="108" w:type="dxa"/>
            <w:bottom w:w="0" w:type="dxa"/>
            <w:right w:w="108" w:type="dxa"/>
          </w:tblCellMar>
        </w:tblPrEx>
        <w:trPr>
          <w:trHeight w:val="1244" w:hRule="atLeast"/>
        </w:trPr>
        <w:tc>
          <w:tcPr>
            <w:tcW w:w="942" w:type="dxa"/>
            <w:vMerge w:val="continue"/>
            <w:tcBorders>
              <w:left w:val="single" w:color="auto" w:sz="4" w:space="0"/>
              <w:right w:val="single" w:color="auto" w:sz="4" w:space="0"/>
            </w:tcBorders>
            <w:vAlign w:val="center"/>
          </w:tcPr>
          <w:p>
            <w:pPr>
              <w:spacing w:line="200" w:lineRule="exact"/>
              <w:rPr>
                <w:rFonts w:ascii="宋体" w:hAnsi="宋体" w:cs="宋体"/>
                <w:sz w:val="18"/>
                <w:szCs w:val="18"/>
              </w:rPr>
            </w:pPr>
          </w:p>
        </w:tc>
        <w:tc>
          <w:tcPr>
            <w:tcW w:w="2835"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日常教师调停课及课表运行管理工作（3分）</w:t>
            </w:r>
          </w:p>
        </w:tc>
        <w:tc>
          <w:tcPr>
            <w:tcW w:w="4836"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1.及时无差错3分</w:t>
            </w:r>
            <w:r>
              <w:rPr>
                <w:rFonts w:hint="eastAsia" w:ascii="宋体" w:hAnsi="宋体" w:cs="宋体"/>
                <w:sz w:val="18"/>
                <w:szCs w:val="18"/>
              </w:rPr>
              <w:br w:type="textWrapping"/>
            </w:r>
            <w:r>
              <w:rPr>
                <w:rFonts w:hint="eastAsia" w:ascii="宋体" w:hAnsi="宋体" w:cs="宋体"/>
                <w:sz w:val="18"/>
                <w:szCs w:val="18"/>
              </w:rPr>
              <w:t>2.不够及时或出现差错2次以下2.4分（含2次）</w:t>
            </w:r>
            <w:r>
              <w:rPr>
                <w:rFonts w:hint="eastAsia" w:ascii="宋体" w:hAnsi="宋体" w:cs="宋体"/>
                <w:sz w:val="18"/>
                <w:szCs w:val="18"/>
              </w:rPr>
              <w:br w:type="textWrapping"/>
            </w:r>
            <w:r>
              <w:rPr>
                <w:rFonts w:hint="eastAsia" w:ascii="宋体" w:hAnsi="宋体" w:cs="宋体"/>
                <w:sz w:val="18"/>
                <w:szCs w:val="18"/>
              </w:rPr>
              <w:t>3.出现差错3-4次1.8分</w:t>
            </w:r>
            <w:r>
              <w:rPr>
                <w:rFonts w:hint="eastAsia" w:ascii="宋体" w:hAnsi="宋体" w:cs="宋体"/>
                <w:sz w:val="18"/>
                <w:szCs w:val="18"/>
              </w:rPr>
              <w:br w:type="textWrapping"/>
            </w:r>
            <w:r>
              <w:rPr>
                <w:rFonts w:hint="eastAsia" w:ascii="宋体" w:hAnsi="宋体" w:cs="宋体"/>
                <w:sz w:val="18"/>
                <w:szCs w:val="18"/>
              </w:rPr>
              <w:t>4.出现差错5次以上1.5分（含5次）</w:t>
            </w:r>
          </w:p>
        </w:tc>
      </w:tr>
      <w:tr>
        <w:tblPrEx>
          <w:tblLayout w:type="fixed"/>
          <w:tblCellMar>
            <w:top w:w="0" w:type="dxa"/>
            <w:left w:w="108" w:type="dxa"/>
            <w:bottom w:w="0" w:type="dxa"/>
            <w:right w:w="108" w:type="dxa"/>
          </w:tblCellMar>
        </w:tblPrEx>
        <w:trPr>
          <w:trHeight w:val="1131" w:hRule="atLeast"/>
        </w:trPr>
        <w:tc>
          <w:tcPr>
            <w:tcW w:w="942" w:type="dxa"/>
            <w:vMerge w:val="continue"/>
            <w:tcBorders>
              <w:left w:val="single" w:color="auto" w:sz="4" w:space="0"/>
              <w:right w:val="single" w:color="auto" w:sz="4" w:space="0"/>
            </w:tcBorders>
            <w:vAlign w:val="center"/>
          </w:tcPr>
          <w:p>
            <w:pPr>
              <w:spacing w:line="200" w:lineRule="exact"/>
              <w:rPr>
                <w:rFonts w:ascii="宋体" w:hAnsi="宋体" w:cs="宋体"/>
                <w:sz w:val="18"/>
                <w:szCs w:val="18"/>
              </w:rPr>
            </w:pPr>
          </w:p>
        </w:tc>
        <w:tc>
          <w:tcPr>
            <w:tcW w:w="2835"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教材统计、报订、领取工作（1分）</w:t>
            </w:r>
          </w:p>
        </w:tc>
        <w:tc>
          <w:tcPr>
            <w:tcW w:w="4836"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1.及时无差错1分</w:t>
            </w:r>
            <w:r>
              <w:rPr>
                <w:rFonts w:hint="eastAsia" w:ascii="宋体" w:hAnsi="宋体" w:cs="宋体"/>
                <w:sz w:val="18"/>
                <w:szCs w:val="18"/>
              </w:rPr>
              <w:br w:type="textWrapping"/>
            </w:r>
            <w:r>
              <w:rPr>
                <w:rFonts w:hint="eastAsia" w:ascii="宋体" w:hAnsi="宋体" w:cs="宋体"/>
                <w:sz w:val="18"/>
                <w:szCs w:val="18"/>
              </w:rPr>
              <w:t>2.不够及时或出现差错2次以下0.8分（含2次）</w:t>
            </w:r>
            <w:r>
              <w:rPr>
                <w:rFonts w:hint="eastAsia" w:ascii="宋体" w:hAnsi="宋体" w:cs="宋体"/>
                <w:sz w:val="18"/>
                <w:szCs w:val="18"/>
              </w:rPr>
              <w:br w:type="textWrapping"/>
            </w:r>
            <w:r>
              <w:rPr>
                <w:rFonts w:hint="eastAsia" w:ascii="宋体" w:hAnsi="宋体" w:cs="宋体"/>
                <w:sz w:val="18"/>
                <w:szCs w:val="18"/>
              </w:rPr>
              <w:t>3.出现差错3-4次0.6分</w:t>
            </w:r>
            <w:r>
              <w:rPr>
                <w:rFonts w:hint="eastAsia" w:ascii="宋体" w:hAnsi="宋体" w:cs="宋体"/>
                <w:sz w:val="18"/>
                <w:szCs w:val="18"/>
              </w:rPr>
              <w:br w:type="textWrapping"/>
            </w:r>
            <w:r>
              <w:rPr>
                <w:rFonts w:hint="eastAsia" w:ascii="宋体" w:hAnsi="宋体" w:cs="宋体"/>
                <w:sz w:val="18"/>
                <w:szCs w:val="18"/>
              </w:rPr>
              <w:t>4.出现差错5次以上0.5分（含5次）</w:t>
            </w:r>
          </w:p>
        </w:tc>
      </w:tr>
      <w:tr>
        <w:tblPrEx>
          <w:tblLayout w:type="fixed"/>
          <w:tblCellMar>
            <w:top w:w="0" w:type="dxa"/>
            <w:left w:w="108" w:type="dxa"/>
            <w:bottom w:w="0" w:type="dxa"/>
            <w:right w:w="108" w:type="dxa"/>
          </w:tblCellMar>
        </w:tblPrEx>
        <w:trPr>
          <w:trHeight w:val="1411" w:hRule="atLeast"/>
        </w:trPr>
        <w:tc>
          <w:tcPr>
            <w:tcW w:w="942" w:type="dxa"/>
            <w:vMerge w:val="continue"/>
            <w:tcBorders>
              <w:left w:val="single" w:color="auto" w:sz="4" w:space="0"/>
              <w:right w:val="single" w:color="auto" w:sz="4" w:space="0"/>
            </w:tcBorders>
            <w:vAlign w:val="center"/>
          </w:tcPr>
          <w:p>
            <w:pPr>
              <w:spacing w:line="200" w:lineRule="exact"/>
              <w:rPr>
                <w:rFonts w:ascii="宋体" w:hAnsi="宋体" w:cs="宋体"/>
                <w:sz w:val="18"/>
                <w:szCs w:val="18"/>
              </w:rPr>
            </w:pPr>
          </w:p>
        </w:tc>
        <w:tc>
          <w:tcPr>
            <w:tcW w:w="2835"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教师教学工作量及课时酬金计算工作（3分）</w:t>
            </w:r>
          </w:p>
        </w:tc>
        <w:tc>
          <w:tcPr>
            <w:tcW w:w="4836"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1.及时无差错3分</w:t>
            </w:r>
            <w:r>
              <w:rPr>
                <w:rFonts w:hint="eastAsia" w:ascii="宋体" w:hAnsi="宋体" w:cs="宋体"/>
                <w:sz w:val="18"/>
                <w:szCs w:val="18"/>
              </w:rPr>
              <w:br w:type="textWrapping"/>
            </w:r>
            <w:r>
              <w:rPr>
                <w:rFonts w:hint="eastAsia" w:ascii="宋体" w:hAnsi="宋体" w:cs="宋体"/>
                <w:sz w:val="18"/>
                <w:szCs w:val="18"/>
              </w:rPr>
              <w:t>2.不够及时或出现差错2次以下2.4分（含2次）</w:t>
            </w:r>
            <w:r>
              <w:rPr>
                <w:rFonts w:hint="eastAsia" w:ascii="宋体" w:hAnsi="宋体" w:cs="宋体"/>
                <w:sz w:val="18"/>
                <w:szCs w:val="18"/>
              </w:rPr>
              <w:br w:type="textWrapping"/>
            </w:r>
            <w:r>
              <w:rPr>
                <w:rFonts w:hint="eastAsia" w:ascii="宋体" w:hAnsi="宋体" w:cs="宋体"/>
                <w:sz w:val="18"/>
                <w:szCs w:val="18"/>
              </w:rPr>
              <w:t>3.出现差错3-4次1.8分</w:t>
            </w:r>
            <w:r>
              <w:rPr>
                <w:rFonts w:hint="eastAsia" w:ascii="宋体" w:hAnsi="宋体" w:cs="宋体"/>
                <w:sz w:val="18"/>
                <w:szCs w:val="18"/>
              </w:rPr>
              <w:br w:type="textWrapping"/>
            </w:r>
            <w:r>
              <w:rPr>
                <w:rFonts w:hint="eastAsia" w:ascii="宋体" w:hAnsi="宋体" w:cs="宋体"/>
                <w:sz w:val="18"/>
                <w:szCs w:val="18"/>
              </w:rPr>
              <w:t>4.出现差错5次以上1.5分（含5次）</w:t>
            </w:r>
          </w:p>
        </w:tc>
      </w:tr>
      <w:tr>
        <w:tblPrEx>
          <w:tblLayout w:type="fixed"/>
          <w:tblCellMar>
            <w:top w:w="0" w:type="dxa"/>
            <w:left w:w="108" w:type="dxa"/>
            <w:bottom w:w="0" w:type="dxa"/>
            <w:right w:w="108" w:type="dxa"/>
          </w:tblCellMar>
        </w:tblPrEx>
        <w:trPr>
          <w:trHeight w:val="1285" w:hRule="atLeast"/>
        </w:trPr>
        <w:tc>
          <w:tcPr>
            <w:tcW w:w="942" w:type="dxa"/>
            <w:vMerge w:val="continue"/>
            <w:tcBorders>
              <w:left w:val="single" w:color="auto" w:sz="4" w:space="0"/>
              <w:right w:val="single" w:color="auto" w:sz="4" w:space="0"/>
            </w:tcBorders>
            <w:vAlign w:val="center"/>
          </w:tcPr>
          <w:p>
            <w:pPr>
              <w:spacing w:line="200" w:lineRule="exact"/>
              <w:rPr>
                <w:rFonts w:ascii="宋体" w:hAnsi="宋体" w:cs="宋体"/>
                <w:sz w:val="18"/>
                <w:szCs w:val="18"/>
              </w:rPr>
            </w:pPr>
          </w:p>
        </w:tc>
        <w:tc>
          <w:tcPr>
            <w:tcW w:w="2835"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教学周历报送工作（1分）</w:t>
            </w:r>
          </w:p>
        </w:tc>
        <w:tc>
          <w:tcPr>
            <w:tcW w:w="4836"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1.及时无差错1分</w:t>
            </w:r>
            <w:r>
              <w:rPr>
                <w:rFonts w:hint="eastAsia" w:ascii="宋体" w:hAnsi="宋体" w:cs="宋体"/>
                <w:sz w:val="18"/>
                <w:szCs w:val="18"/>
              </w:rPr>
              <w:br w:type="textWrapping"/>
            </w:r>
            <w:r>
              <w:rPr>
                <w:rFonts w:hint="eastAsia" w:ascii="宋体" w:hAnsi="宋体" w:cs="宋体"/>
                <w:sz w:val="18"/>
                <w:szCs w:val="18"/>
              </w:rPr>
              <w:t>2.不够及时或出现差错2次以下0.8分（含2次）</w:t>
            </w:r>
            <w:r>
              <w:rPr>
                <w:rFonts w:hint="eastAsia" w:ascii="宋体" w:hAnsi="宋体" w:cs="宋体"/>
                <w:sz w:val="18"/>
                <w:szCs w:val="18"/>
              </w:rPr>
              <w:br w:type="textWrapping"/>
            </w:r>
            <w:r>
              <w:rPr>
                <w:rFonts w:hint="eastAsia" w:ascii="宋体" w:hAnsi="宋体" w:cs="宋体"/>
                <w:sz w:val="18"/>
                <w:szCs w:val="18"/>
              </w:rPr>
              <w:t>3.出现差错3-4次0.6分</w:t>
            </w:r>
            <w:r>
              <w:rPr>
                <w:rFonts w:hint="eastAsia" w:ascii="宋体" w:hAnsi="宋体" w:cs="宋体"/>
                <w:sz w:val="18"/>
                <w:szCs w:val="18"/>
              </w:rPr>
              <w:br w:type="textWrapping"/>
            </w:r>
            <w:r>
              <w:rPr>
                <w:rFonts w:hint="eastAsia" w:ascii="宋体" w:hAnsi="宋体" w:cs="宋体"/>
                <w:sz w:val="18"/>
                <w:szCs w:val="18"/>
              </w:rPr>
              <w:t>4.出现差错5次以上0.5分（含5次）</w:t>
            </w:r>
          </w:p>
        </w:tc>
      </w:tr>
      <w:tr>
        <w:tblPrEx>
          <w:tblLayout w:type="fixed"/>
          <w:tblCellMar>
            <w:top w:w="0" w:type="dxa"/>
            <w:left w:w="108" w:type="dxa"/>
            <w:bottom w:w="0" w:type="dxa"/>
            <w:right w:w="108" w:type="dxa"/>
          </w:tblCellMar>
        </w:tblPrEx>
        <w:trPr>
          <w:trHeight w:val="1215" w:hRule="atLeast"/>
        </w:trPr>
        <w:tc>
          <w:tcPr>
            <w:tcW w:w="942" w:type="dxa"/>
            <w:vMerge w:val="continue"/>
            <w:tcBorders>
              <w:left w:val="single" w:color="auto" w:sz="4" w:space="0"/>
              <w:right w:val="single" w:color="auto" w:sz="4" w:space="0"/>
            </w:tcBorders>
            <w:vAlign w:val="center"/>
          </w:tcPr>
          <w:p>
            <w:pPr>
              <w:spacing w:line="200" w:lineRule="exact"/>
              <w:rPr>
                <w:rFonts w:ascii="宋体" w:hAnsi="宋体" w:cs="宋体"/>
                <w:sz w:val="18"/>
                <w:szCs w:val="18"/>
              </w:rPr>
            </w:pPr>
          </w:p>
        </w:tc>
        <w:tc>
          <w:tcPr>
            <w:tcW w:w="2835"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学生选课管理工作（1分）</w:t>
            </w:r>
          </w:p>
        </w:tc>
        <w:tc>
          <w:tcPr>
            <w:tcW w:w="4836"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1.及时无差错1分</w:t>
            </w:r>
            <w:r>
              <w:rPr>
                <w:rFonts w:hint="eastAsia" w:ascii="宋体" w:hAnsi="宋体" w:cs="宋体"/>
                <w:sz w:val="18"/>
                <w:szCs w:val="18"/>
              </w:rPr>
              <w:br w:type="textWrapping"/>
            </w:r>
            <w:r>
              <w:rPr>
                <w:rFonts w:hint="eastAsia" w:ascii="宋体" w:hAnsi="宋体" w:cs="宋体"/>
                <w:sz w:val="18"/>
                <w:szCs w:val="18"/>
              </w:rPr>
              <w:t>2.不够及时或出现差错2次以下0.8分（含2次）</w:t>
            </w:r>
            <w:r>
              <w:rPr>
                <w:rFonts w:hint="eastAsia" w:ascii="宋体" w:hAnsi="宋体" w:cs="宋体"/>
                <w:sz w:val="18"/>
                <w:szCs w:val="18"/>
              </w:rPr>
              <w:br w:type="textWrapping"/>
            </w:r>
            <w:r>
              <w:rPr>
                <w:rFonts w:hint="eastAsia" w:ascii="宋体" w:hAnsi="宋体" w:cs="宋体"/>
                <w:sz w:val="18"/>
                <w:szCs w:val="18"/>
              </w:rPr>
              <w:t>3.出现差错3-4次0.6分</w:t>
            </w:r>
            <w:r>
              <w:rPr>
                <w:rFonts w:hint="eastAsia" w:ascii="宋体" w:hAnsi="宋体" w:cs="宋体"/>
                <w:sz w:val="18"/>
                <w:szCs w:val="18"/>
              </w:rPr>
              <w:br w:type="textWrapping"/>
            </w:r>
            <w:r>
              <w:rPr>
                <w:rFonts w:hint="eastAsia" w:ascii="宋体" w:hAnsi="宋体" w:cs="宋体"/>
                <w:sz w:val="18"/>
                <w:szCs w:val="18"/>
              </w:rPr>
              <w:t>4.出现差错5次以上0.5分（含5次）</w:t>
            </w:r>
          </w:p>
        </w:tc>
      </w:tr>
      <w:tr>
        <w:tblPrEx>
          <w:tblLayout w:type="fixed"/>
          <w:tblCellMar>
            <w:top w:w="0" w:type="dxa"/>
            <w:left w:w="108" w:type="dxa"/>
            <w:bottom w:w="0" w:type="dxa"/>
            <w:right w:w="108" w:type="dxa"/>
          </w:tblCellMar>
        </w:tblPrEx>
        <w:trPr>
          <w:trHeight w:val="1285" w:hRule="atLeast"/>
        </w:trPr>
        <w:tc>
          <w:tcPr>
            <w:tcW w:w="942" w:type="dxa"/>
            <w:vMerge w:val="continue"/>
            <w:tcBorders>
              <w:left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p>
        </w:tc>
        <w:tc>
          <w:tcPr>
            <w:tcW w:w="2835"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实验（上机）课表编排及报送工作（1分）</w:t>
            </w:r>
          </w:p>
        </w:tc>
        <w:tc>
          <w:tcPr>
            <w:tcW w:w="4836"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1.及时无差错1分</w:t>
            </w:r>
            <w:r>
              <w:rPr>
                <w:rFonts w:hint="eastAsia" w:ascii="宋体" w:hAnsi="宋体" w:cs="宋体"/>
                <w:sz w:val="18"/>
                <w:szCs w:val="18"/>
              </w:rPr>
              <w:br w:type="textWrapping"/>
            </w:r>
            <w:r>
              <w:rPr>
                <w:rFonts w:hint="eastAsia" w:ascii="宋体" w:hAnsi="宋体" w:cs="宋体"/>
                <w:sz w:val="18"/>
                <w:szCs w:val="18"/>
              </w:rPr>
              <w:t>2.不够及时或出现差错2次以下0.8分（含2次）</w:t>
            </w:r>
            <w:r>
              <w:rPr>
                <w:rFonts w:hint="eastAsia" w:ascii="宋体" w:hAnsi="宋体" w:cs="宋体"/>
                <w:sz w:val="18"/>
                <w:szCs w:val="18"/>
              </w:rPr>
              <w:br w:type="textWrapping"/>
            </w:r>
            <w:r>
              <w:rPr>
                <w:rFonts w:hint="eastAsia" w:ascii="宋体" w:hAnsi="宋体" w:cs="宋体"/>
                <w:sz w:val="18"/>
                <w:szCs w:val="18"/>
              </w:rPr>
              <w:t>3.出现差3-4次0.6分</w:t>
            </w:r>
            <w:r>
              <w:rPr>
                <w:rFonts w:hint="eastAsia" w:ascii="宋体" w:hAnsi="宋体" w:cs="宋体"/>
                <w:sz w:val="18"/>
                <w:szCs w:val="18"/>
              </w:rPr>
              <w:br w:type="textWrapping"/>
            </w:r>
            <w:r>
              <w:rPr>
                <w:rFonts w:hint="eastAsia" w:ascii="宋体" w:hAnsi="宋体" w:cs="宋体"/>
                <w:sz w:val="18"/>
                <w:szCs w:val="18"/>
              </w:rPr>
              <w:t>4.出现差错5次以上0.5分（含5次）</w:t>
            </w:r>
          </w:p>
        </w:tc>
      </w:tr>
      <w:tr>
        <w:tblPrEx>
          <w:tblLayout w:type="fixed"/>
          <w:tblCellMar>
            <w:top w:w="0" w:type="dxa"/>
            <w:left w:w="108" w:type="dxa"/>
            <w:bottom w:w="0" w:type="dxa"/>
            <w:right w:w="108" w:type="dxa"/>
          </w:tblCellMar>
        </w:tblPrEx>
        <w:trPr>
          <w:trHeight w:val="1244" w:hRule="atLeast"/>
        </w:trPr>
        <w:tc>
          <w:tcPr>
            <w:tcW w:w="942" w:type="dxa"/>
            <w:vMerge w:val="continue"/>
            <w:tcBorders>
              <w:left w:val="single" w:color="auto" w:sz="4" w:space="0"/>
              <w:bottom w:val="single" w:color="auto" w:sz="4" w:space="0"/>
              <w:right w:val="single" w:color="auto" w:sz="4" w:space="0"/>
            </w:tcBorders>
            <w:vAlign w:val="center"/>
          </w:tcPr>
          <w:p>
            <w:pPr>
              <w:widowControl/>
              <w:spacing w:line="200" w:lineRule="exact"/>
              <w:rPr>
                <w:rFonts w:ascii="宋体" w:hAnsi="宋体" w:cs="宋体"/>
                <w:sz w:val="18"/>
                <w:szCs w:val="18"/>
              </w:rPr>
            </w:pPr>
          </w:p>
        </w:tc>
        <w:tc>
          <w:tcPr>
            <w:tcW w:w="2835"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教学状态数据采集相关工作（1分）</w:t>
            </w:r>
          </w:p>
        </w:tc>
        <w:tc>
          <w:tcPr>
            <w:tcW w:w="4836"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1.及时无差错1分；</w:t>
            </w:r>
            <w:r>
              <w:rPr>
                <w:rFonts w:hint="eastAsia" w:ascii="宋体" w:hAnsi="宋体" w:cs="宋体"/>
                <w:sz w:val="18"/>
                <w:szCs w:val="18"/>
              </w:rPr>
              <w:br w:type="textWrapping"/>
            </w:r>
            <w:r>
              <w:rPr>
                <w:rFonts w:hint="eastAsia" w:ascii="宋体" w:hAnsi="宋体" w:cs="宋体"/>
                <w:sz w:val="18"/>
                <w:szCs w:val="18"/>
              </w:rPr>
              <w:t>2.不够及时或出现差错2次以下0.8分（含2次）</w:t>
            </w:r>
            <w:r>
              <w:rPr>
                <w:rFonts w:hint="eastAsia" w:ascii="宋体" w:hAnsi="宋体" w:cs="宋体"/>
                <w:sz w:val="18"/>
                <w:szCs w:val="18"/>
              </w:rPr>
              <w:br w:type="textWrapping"/>
            </w:r>
            <w:r>
              <w:rPr>
                <w:rFonts w:hint="eastAsia" w:ascii="宋体" w:hAnsi="宋体" w:cs="宋体"/>
                <w:sz w:val="18"/>
                <w:szCs w:val="18"/>
              </w:rPr>
              <w:t>3.出现差错3-4次0.6分</w:t>
            </w:r>
            <w:r>
              <w:rPr>
                <w:rFonts w:hint="eastAsia" w:ascii="宋体" w:hAnsi="宋体" w:cs="宋体"/>
                <w:sz w:val="18"/>
                <w:szCs w:val="18"/>
              </w:rPr>
              <w:br w:type="textWrapping"/>
            </w:r>
            <w:r>
              <w:rPr>
                <w:rFonts w:hint="eastAsia" w:ascii="宋体" w:hAnsi="宋体" w:cs="宋体"/>
                <w:sz w:val="18"/>
                <w:szCs w:val="18"/>
              </w:rPr>
              <w:t>4.出现差错5次以上0.5分（含5次）</w:t>
            </w:r>
          </w:p>
        </w:tc>
      </w:tr>
      <w:tr>
        <w:tblPrEx>
          <w:tblLayout w:type="fixed"/>
          <w:tblCellMar>
            <w:top w:w="0" w:type="dxa"/>
            <w:left w:w="108" w:type="dxa"/>
            <w:bottom w:w="0" w:type="dxa"/>
            <w:right w:w="108" w:type="dxa"/>
          </w:tblCellMar>
        </w:tblPrEx>
        <w:trPr>
          <w:trHeight w:val="1369" w:hRule="atLeast"/>
        </w:trPr>
        <w:tc>
          <w:tcPr>
            <w:tcW w:w="94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考试管理工作（9分）</w:t>
            </w:r>
          </w:p>
        </w:tc>
        <w:tc>
          <w:tcPr>
            <w:tcW w:w="2835"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院内考试工作（期末考试、补考、清考），含系内考试安排、大考科目报送、监考教师通知、学生考试通知、试卷收发、监考服务工作量核算等工作。（4分）</w:t>
            </w:r>
          </w:p>
        </w:tc>
        <w:tc>
          <w:tcPr>
            <w:tcW w:w="4836"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1.及时无差错4分</w:t>
            </w:r>
            <w:r>
              <w:rPr>
                <w:rFonts w:hint="eastAsia" w:ascii="宋体" w:hAnsi="宋体" w:cs="宋体"/>
                <w:sz w:val="18"/>
                <w:szCs w:val="18"/>
              </w:rPr>
              <w:br w:type="textWrapping"/>
            </w:r>
            <w:r>
              <w:rPr>
                <w:rFonts w:hint="eastAsia" w:ascii="宋体" w:hAnsi="宋体" w:cs="宋体"/>
                <w:sz w:val="18"/>
                <w:szCs w:val="18"/>
              </w:rPr>
              <w:t>2.不够及时或出现差错3次以下3.2分（含3次）</w:t>
            </w:r>
            <w:r>
              <w:rPr>
                <w:rFonts w:hint="eastAsia" w:ascii="宋体" w:hAnsi="宋体" w:cs="宋体"/>
                <w:sz w:val="18"/>
                <w:szCs w:val="18"/>
              </w:rPr>
              <w:br w:type="textWrapping"/>
            </w:r>
            <w:r>
              <w:rPr>
                <w:rFonts w:hint="eastAsia" w:ascii="宋体" w:hAnsi="宋体" w:cs="宋体"/>
                <w:sz w:val="18"/>
                <w:szCs w:val="18"/>
              </w:rPr>
              <w:t>3.出现差错4-5次2.4分</w:t>
            </w:r>
            <w:r>
              <w:rPr>
                <w:rFonts w:hint="eastAsia" w:ascii="宋体" w:hAnsi="宋体" w:cs="宋体"/>
                <w:sz w:val="18"/>
                <w:szCs w:val="18"/>
              </w:rPr>
              <w:br w:type="textWrapping"/>
            </w:r>
            <w:r>
              <w:rPr>
                <w:rFonts w:hint="eastAsia" w:ascii="宋体" w:hAnsi="宋体" w:cs="宋体"/>
                <w:sz w:val="18"/>
                <w:szCs w:val="18"/>
              </w:rPr>
              <w:t>4.出现差错6次以上2分（含6次）</w:t>
            </w:r>
          </w:p>
        </w:tc>
      </w:tr>
      <w:tr>
        <w:tblPrEx>
          <w:tblLayout w:type="fixed"/>
          <w:tblCellMar>
            <w:top w:w="0" w:type="dxa"/>
            <w:left w:w="108" w:type="dxa"/>
            <w:bottom w:w="0" w:type="dxa"/>
            <w:right w:w="108" w:type="dxa"/>
          </w:tblCellMar>
        </w:tblPrEx>
        <w:trPr>
          <w:trHeight w:val="1327" w:hRule="atLeast"/>
        </w:trPr>
        <w:tc>
          <w:tcPr>
            <w:tcW w:w="94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ascii="宋体" w:hAnsi="宋体" w:cs="宋体"/>
                <w:sz w:val="18"/>
                <w:szCs w:val="18"/>
              </w:rPr>
            </w:pPr>
          </w:p>
        </w:tc>
        <w:tc>
          <w:tcPr>
            <w:tcW w:w="2835"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院外考试工作（大学英语四、六级，英语专业四、八级，计算机等级考试等），含报名组织及材料审核、 考试安排通知、监考教师报名及通知等相关工作（3分）</w:t>
            </w:r>
          </w:p>
        </w:tc>
        <w:tc>
          <w:tcPr>
            <w:tcW w:w="4836"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1.及时无差错3分</w:t>
            </w:r>
            <w:r>
              <w:rPr>
                <w:rFonts w:hint="eastAsia" w:ascii="宋体" w:hAnsi="宋体" w:cs="宋体"/>
                <w:sz w:val="18"/>
                <w:szCs w:val="18"/>
              </w:rPr>
              <w:br w:type="textWrapping"/>
            </w:r>
            <w:r>
              <w:rPr>
                <w:rFonts w:hint="eastAsia" w:ascii="宋体" w:hAnsi="宋体" w:cs="宋体"/>
                <w:sz w:val="18"/>
                <w:szCs w:val="18"/>
              </w:rPr>
              <w:t>2.不够及时或出现差错2次以下2.4分（含2次）</w:t>
            </w:r>
            <w:r>
              <w:rPr>
                <w:rFonts w:hint="eastAsia" w:ascii="宋体" w:hAnsi="宋体" w:cs="宋体"/>
                <w:sz w:val="18"/>
                <w:szCs w:val="18"/>
              </w:rPr>
              <w:br w:type="textWrapping"/>
            </w:r>
            <w:r>
              <w:rPr>
                <w:rFonts w:hint="eastAsia" w:ascii="宋体" w:hAnsi="宋体" w:cs="宋体"/>
                <w:sz w:val="18"/>
                <w:szCs w:val="18"/>
              </w:rPr>
              <w:t>3.出现差错3-4次1.8分</w:t>
            </w:r>
            <w:r>
              <w:rPr>
                <w:rFonts w:hint="eastAsia" w:ascii="宋体" w:hAnsi="宋体" w:cs="宋体"/>
                <w:sz w:val="18"/>
                <w:szCs w:val="18"/>
              </w:rPr>
              <w:br w:type="textWrapping"/>
            </w:r>
            <w:r>
              <w:rPr>
                <w:rFonts w:hint="eastAsia" w:ascii="宋体" w:hAnsi="宋体" w:cs="宋体"/>
                <w:sz w:val="18"/>
                <w:szCs w:val="18"/>
              </w:rPr>
              <w:t>4.出现差错5次以上1.5分（含5次）</w:t>
            </w:r>
          </w:p>
        </w:tc>
      </w:tr>
      <w:tr>
        <w:tblPrEx>
          <w:tblLayout w:type="fixed"/>
          <w:tblCellMar>
            <w:top w:w="0" w:type="dxa"/>
            <w:left w:w="108" w:type="dxa"/>
            <w:bottom w:w="0" w:type="dxa"/>
            <w:right w:w="108" w:type="dxa"/>
          </w:tblCellMar>
        </w:tblPrEx>
        <w:trPr>
          <w:trHeight w:val="983" w:hRule="atLeast"/>
        </w:trPr>
        <w:tc>
          <w:tcPr>
            <w:tcW w:w="94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ascii="宋体" w:hAnsi="宋体" w:cs="宋体"/>
                <w:sz w:val="18"/>
                <w:szCs w:val="18"/>
              </w:rPr>
            </w:pPr>
          </w:p>
        </w:tc>
        <w:tc>
          <w:tcPr>
            <w:tcW w:w="2835"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试卷送印工作（1分）</w:t>
            </w:r>
          </w:p>
        </w:tc>
        <w:tc>
          <w:tcPr>
            <w:tcW w:w="4836"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1.按规定时间报送1分；</w:t>
            </w:r>
            <w:r>
              <w:rPr>
                <w:rFonts w:hint="eastAsia" w:ascii="宋体" w:hAnsi="宋体" w:cs="宋体"/>
                <w:sz w:val="18"/>
                <w:szCs w:val="18"/>
              </w:rPr>
              <w:br w:type="textWrapping"/>
            </w:r>
            <w:r>
              <w:rPr>
                <w:rFonts w:hint="eastAsia" w:ascii="宋体" w:hAnsi="宋体" w:cs="宋体"/>
                <w:sz w:val="18"/>
                <w:szCs w:val="18"/>
              </w:rPr>
              <w:t>2.未按规定时间报送2套以下0.8分（含2份）；</w:t>
            </w:r>
            <w:r>
              <w:rPr>
                <w:rFonts w:hint="eastAsia" w:ascii="宋体" w:hAnsi="宋体" w:cs="宋体"/>
                <w:sz w:val="18"/>
                <w:szCs w:val="18"/>
              </w:rPr>
              <w:br w:type="textWrapping"/>
            </w:r>
            <w:r>
              <w:rPr>
                <w:rFonts w:hint="eastAsia" w:ascii="宋体" w:hAnsi="宋体" w:cs="宋体"/>
                <w:sz w:val="18"/>
                <w:szCs w:val="18"/>
              </w:rPr>
              <w:t>3.未按规定时间报送3-4套0.6分</w:t>
            </w:r>
            <w:r>
              <w:rPr>
                <w:rFonts w:hint="eastAsia" w:ascii="宋体" w:hAnsi="宋体" w:cs="宋体"/>
                <w:sz w:val="18"/>
                <w:szCs w:val="18"/>
              </w:rPr>
              <w:br w:type="textWrapping"/>
            </w:r>
            <w:r>
              <w:rPr>
                <w:rFonts w:hint="eastAsia" w:ascii="宋体" w:hAnsi="宋体" w:cs="宋体"/>
                <w:sz w:val="18"/>
                <w:szCs w:val="18"/>
              </w:rPr>
              <w:t>4.未按规定时间报送5套以上0.5分（含5套）</w:t>
            </w:r>
          </w:p>
        </w:tc>
      </w:tr>
      <w:tr>
        <w:tblPrEx>
          <w:tblLayout w:type="fixed"/>
          <w:tblCellMar>
            <w:top w:w="0" w:type="dxa"/>
            <w:left w:w="108" w:type="dxa"/>
            <w:bottom w:w="0" w:type="dxa"/>
            <w:right w:w="108" w:type="dxa"/>
          </w:tblCellMar>
        </w:tblPrEx>
        <w:trPr>
          <w:trHeight w:val="1463" w:hRule="atLeast"/>
        </w:trPr>
        <w:tc>
          <w:tcPr>
            <w:tcW w:w="94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ascii="宋体" w:hAnsi="宋体" w:cs="宋体"/>
                <w:sz w:val="18"/>
                <w:szCs w:val="18"/>
              </w:rPr>
            </w:pPr>
          </w:p>
        </w:tc>
        <w:tc>
          <w:tcPr>
            <w:tcW w:w="2835"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学生考试成绩单报送工作（1分）</w:t>
            </w:r>
          </w:p>
        </w:tc>
        <w:tc>
          <w:tcPr>
            <w:tcW w:w="4836"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1.按规定时间报送1分；</w:t>
            </w:r>
            <w:r>
              <w:rPr>
                <w:rFonts w:hint="eastAsia" w:ascii="宋体" w:hAnsi="宋体" w:cs="宋体"/>
                <w:sz w:val="18"/>
                <w:szCs w:val="18"/>
              </w:rPr>
              <w:br w:type="textWrapping"/>
            </w:r>
            <w:r>
              <w:rPr>
                <w:rFonts w:hint="eastAsia" w:ascii="宋体" w:hAnsi="宋体" w:cs="宋体"/>
                <w:sz w:val="18"/>
                <w:szCs w:val="18"/>
              </w:rPr>
              <w:t>2.未按规定时间报送份数2份以下0.8分（含2份）；</w:t>
            </w:r>
            <w:r>
              <w:rPr>
                <w:rFonts w:hint="eastAsia" w:ascii="宋体" w:hAnsi="宋体" w:cs="宋体"/>
                <w:sz w:val="18"/>
                <w:szCs w:val="18"/>
              </w:rPr>
              <w:br w:type="textWrapping"/>
            </w:r>
            <w:r>
              <w:rPr>
                <w:rFonts w:hint="eastAsia" w:ascii="宋体" w:hAnsi="宋体" w:cs="宋体"/>
                <w:sz w:val="18"/>
                <w:szCs w:val="18"/>
              </w:rPr>
              <w:t>3.未按规定时间报送3-4份0.6分。</w:t>
            </w:r>
            <w:r>
              <w:rPr>
                <w:rFonts w:hint="eastAsia" w:ascii="宋体" w:hAnsi="宋体" w:cs="宋体"/>
                <w:sz w:val="18"/>
                <w:szCs w:val="18"/>
              </w:rPr>
              <w:br w:type="textWrapping"/>
            </w:r>
            <w:r>
              <w:rPr>
                <w:rFonts w:hint="eastAsia" w:ascii="宋体" w:hAnsi="宋体" w:cs="宋体"/>
                <w:sz w:val="18"/>
                <w:szCs w:val="18"/>
              </w:rPr>
              <w:t>4.未按规定时间报送5份以上0.5分（含5套）</w:t>
            </w:r>
          </w:p>
        </w:tc>
      </w:tr>
      <w:tr>
        <w:tblPrEx>
          <w:tblLayout w:type="fixed"/>
          <w:tblCellMar>
            <w:top w:w="0" w:type="dxa"/>
            <w:left w:w="108" w:type="dxa"/>
            <w:bottom w:w="0" w:type="dxa"/>
            <w:right w:w="108" w:type="dxa"/>
          </w:tblCellMar>
        </w:tblPrEx>
        <w:trPr>
          <w:trHeight w:val="1020" w:hRule="atLeast"/>
        </w:trPr>
        <w:tc>
          <w:tcPr>
            <w:tcW w:w="94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学籍管理工作（6分）</w:t>
            </w:r>
          </w:p>
        </w:tc>
        <w:tc>
          <w:tcPr>
            <w:tcW w:w="2835"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毕业资格及学位授予资格审核工作（3分）</w:t>
            </w:r>
          </w:p>
        </w:tc>
        <w:tc>
          <w:tcPr>
            <w:tcW w:w="4836"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1.及时无差错3分</w:t>
            </w:r>
            <w:r>
              <w:rPr>
                <w:rFonts w:hint="eastAsia" w:ascii="宋体" w:hAnsi="宋体" w:cs="宋体"/>
                <w:sz w:val="18"/>
                <w:szCs w:val="18"/>
              </w:rPr>
              <w:br w:type="textWrapping"/>
            </w:r>
            <w:r>
              <w:rPr>
                <w:rFonts w:hint="eastAsia" w:ascii="宋体" w:hAnsi="宋体" w:cs="宋体"/>
                <w:sz w:val="18"/>
                <w:szCs w:val="18"/>
              </w:rPr>
              <w:t>2.不够及时或出现1次2.4分</w:t>
            </w:r>
            <w:r>
              <w:rPr>
                <w:rFonts w:hint="eastAsia" w:ascii="宋体" w:hAnsi="宋体" w:cs="宋体"/>
                <w:sz w:val="18"/>
                <w:szCs w:val="18"/>
              </w:rPr>
              <w:br w:type="textWrapping"/>
            </w:r>
            <w:r>
              <w:rPr>
                <w:rFonts w:hint="eastAsia" w:ascii="宋体" w:hAnsi="宋体" w:cs="宋体"/>
                <w:sz w:val="18"/>
                <w:szCs w:val="18"/>
              </w:rPr>
              <w:t>3.出现差错2次1.8分</w:t>
            </w:r>
            <w:r>
              <w:rPr>
                <w:rFonts w:hint="eastAsia" w:ascii="宋体" w:hAnsi="宋体" w:cs="宋体"/>
                <w:sz w:val="18"/>
                <w:szCs w:val="18"/>
              </w:rPr>
              <w:br w:type="textWrapping"/>
            </w:r>
            <w:r>
              <w:rPr>
                <w:rFonts w:hint="eastAsia" w:ascii="宋体" w:hAnsi="宋体" w:cs="宋体"/>
                <w:sz w:val="18"/>
                <w:szCs w:val="18"/>
              </w:rPr>
              <w:t>4.出现差错3次以上1.5分（含3次）</w:t>
            </w:r>
          </w:p>
        </w:tc>
      </w:tr>
      <w:tr>
        <w:tblPrEx>
          <w:tblLayout w:type="fixed"/>
          <w:tblCellMar>
            <w:top w:w="0" w:type="dxa"/>
            <w:left w:w="108" w:type="dxa"/>
            <w:bottom w:w="0" w:type="dxa"/>
            <w:right w:w="108" w:type="dxa"/>
          </w:tblCellMar>
        </w:tblPrEx>
        <w:trPr>
          <w:trHeight w:val="1062" w:hRule="atLeast"/>
        </w:trPr>
        <w:tc>
          <w:tcPr>
            <w:tcW w:w="94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ascii="宋体" w:hAnsi="宋体" w:cs="宋体"/>
                <w:sz w:val="18"/>
                <w:szCs w:val="18"/>
              </w:rPr>
            </w:pPr>
          </w:p>
        </w:tc>
        <w:tc>
          <w:tcPr>
            <w:tcW w:w="2835"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学生学籍管理工作，含学籍清理、学籍异动等工作（1分）</w:t>
            </w:r>
          </w:p>
        </w:tc>
        <w:tc>
          <w:tcPr>
            <w:tcW w:w="4836"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1.及时无差错1分</w:t>
            </w:r>
            <w:r>
              <w:rPr>
                <w:rFonts w:hint="eastAsia" w:ascii="宋体" w:hAnsi="宋体" w:cs="宋体"/>
                <w:sz w:val="18"/>
                <w:szCs w:val="18"/>
              </w:rPr>
              <w:br w:type="textWrapping"/>
            </w:r>
            <w:r>
              <w:rPr>
                <w:rFonts w:hint="eastAsia" w:ascii="宋体" w:hAnsi="宋体" w:cs="宋体"/>
                <w:sz w:val="18"/>
                <w:szCs w:val="18"/>
              </w:rPr>
              <w:t>2.不够及时或出现差错2次以下0.8分（含2次）</w:t>
            </w:r>
            <w:r>
              <w:rPr>
                <w:rFonts w:hint="eastAsia" w:ascii="宋体" w:hAnsi="宋体" w:cs="宋体"/>
                <w:sz w:val="18"/>
                <w:szCs w:val="18"/>
              </w:rPr>
              <w:br w:type="textWrapping"/>
            </w:r>
            <w:r>
              <w:rPr>
                <w:rFonts w:hint="eastAsia" w:ascii="宋体" w:hAnsi="宋体" w:cs="宋体"/>
                <w:sz w:val="18"/>
                <w:szCs w:val="18"/>
              </w:rPr>
              <w:t>3.出现差错3-4次0.6分</w:t>
            </w:r>
            <w:r>
              <w:rPr>
                <w:rFonts w:hint="eastAsia" w:ascii="宋体" w:hAnsi="宋体" w:cs="宋体"/>
                <w:sz w:val="18"/>
                <w:szCs w:val="18"/>
              </w:rPr>
              <w:br w:type="textWrapping"/>
            </w:r>
            <w:r>
              <w:rPr>
                <w:rFonts w:hint="eastAsia" w:ascii="宋体" w:hAnsi="宋体" w:cs="宋体"/>
                <w:sz w:val="18"/>
                <w:szCs w:val="18"/>
              </w:rPr>
              <w:t>4.出现差错5次以上0.5分（含5次）</w:t>
            </w:r>
          </w:p>
        </w:tc>
      </w:tr>
      <w:tr>
        <w:tblPrEx>
          <w:tblLayout w:type="fixed"/>
          <w:tblCellMar>
            <w:top w:w="0" w:type="dxa"/>
            <w:left w:w="108" w:type="dxa"/>
            <w:bottom w:w="0" w:type="dxa"/>
            <w:right w:w="108" w:type="dxa"/>
          </w:tblCellMar>
        </w:tblPrEx>
        <w:trPr>
          <w:trHeight w:val="1146" w:hRule="atLeast"/>
        </w:trPr>
        <w:tc>
          <w:tcPr>
            <w:tcW w:w="94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ascii="宋体" w:hAnsi="宋体" w:cs="宋体"/>
                <w:sz w:val="18"/>
                <w:szCs w:val="18"/>
              </w:rPr>
            </w:pPr>
          </w:p>
        </w:tc>
        <w:tc>
          <w:tcPr>
            <w:tcW w:w="2835"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学生补修、免修、重修、辅修管理工作（2分）</w:t>
            </w:r>
          </w:p>
        </w:tc>
        <w:tc>
          <w:tcPr>
            <w:tcW w:w="4836"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1.及时无差错2分</w:t>
            </w:r>
            <w:r>
              <w:rPr>
                <w:rFonts w:hint="eastAsia" w:ascii="宋体" w:hAnsi="宋体" w:cs="宋体"/>
                <w:sz w:val="18"/>
                <w:szCs w:val="18"/>
              </w:rPr>
              <w:br w:type="textWrapping"/>
            </w:r>
            <w:r>
              <w:rPr>
                <w:rFonts w:hint="eastAsia" w:ascii="宋体" w:hAnsi="宋体" w:cs="宋体"/>
                <w:sz w:val="18"/>
                <w:szCs w:val="18"/>
              </w:rPr>
              <w:t>2.不够及时或出现差错2次以下1.6分（含2次）</w:t>
            </w:r>
            <w:r>
              <w:rPr>
                <w:rFonts w:hint="eastAsia" w:ascii="宋体" w:hAnsi="宋体" w:cs="宋体"/>
                <w:sz w:val="18"/>
                <w:szCs w:val="18"/>
              </w:rPr>
              <w:br w:type="textWrapping"/>
            </w:r>
            <w:r>
              <w:rPr>
                <w:rFonts w:hint="eastAsia" w:ascii="宋体" w:hAnsi="宋体" w:cs="宋体"/>
                <w:sz w:val="18"/>
                <w:szCs w:val="18"/>
              </w:rPr>
              <w:t>3.出现差错3-4次1.2分</w:t>
            </w:r>
            <w:r>
              <w:rPr>
                <w:rFonts w:hint="eastAsia" w:ascii="宋体" w:hAnsi="宋体" w:cs="宋体"/>
                <w:sz w:val="18"/>
                <w:szCs w:val="18"/>
              </w:rPr>
              <w:br w:type="textWrapping"/>
            </w:r>
            <w:r>
              <w:rPr>
                <w:rFonts w:hint="eastAsia" w:ascii="宋体" w:hAnsi="宋体" w:cs="宋体"/>
                <w:sz w:val="18"/>
                <w:szCs w:val="18"/>
              </w:rPr>
              <w:t>4.出现差错5次以上1分（含5次）</w:t>
            </w:r>
          </w:p>
        </w:tc>
      </w:tr>
      <w:tr>
        <w:tblPrEx>
          <w:tblLayout w:type="fixed"/>
          <w:tblCellMar>
            <w:top w:w="0" w:type="dxa"/>
            <w:left w:w="108" w:type="dxa"/>
            <w:bottom w:w="0" w:type="dxa"/>
            <w:right w:w="108" w:type="dxa"/>
          </w:tblCellMar>
        </w:tblPrEx>
        <w:trPr>
          <w:trHeight w:val="1117" w:hRule="atLeast"/>
        </w:trPr>
        <w:tc>
          <w:tcPr>
            <w:tcW w:w="94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实践教学管理工作（4分）</w:t>
            </w:r>
          </w:p>
        </w:tc>
        <w:tc>
          <w:tcPr>
            <w:tcW w:w="2835"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实践教学计划及实践教学日历报送工作（2分）</w:t>
            </w:r>
          </w:p>
        </w:tc>
        <w:tc>
          <w:tcPr>
            <w:tcW w:w="4836"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1.及时无差错2分</w:t>
            </w:r>
            <w:r>
              <w:rPr>
                <w:rFonts w:hint="eastAsia" w:ascii="宋体" w:hAnsi="宋体" w:cs="宋体"/>
                <w:sz w:val="18"/>
                <w:szCs w:val="18"/>
              </w:rPr>
              <w:br w:type="textWrapping"/>
            </w:r>
            <w:r>
              <w:rPr>
                <w:rFonts w:hint="eastAsia" w:ascii="宋体" w:hAnsi="宋体" w:cs="宋体"/>
                <w:sz w:val="18"/>
                <w:szCs w:val="18"/>
              </w:rPr>
              <w:t>2.不够及时或出现差错2次以下1.6分（含2次）</w:t>
            </w:r>
            <w:r>
              <w:rPr>
                <w:rFonts w:hint="eastAsia" w:ascii="宋体" w:hAnsi="宋体" w:cs="宋体"/>
                <w:sz w:val="18"/>
                <w:szCs w:val="18"/>
              </w:rPr>
              <w:br w:type="textWrapping"/>
            </w:r>
            <w:r>
              <w:rPr>
                <w:rFonts w:hint="eastAsia" w:ascii="宋体" w:hAnsi="宋体" w:cs="宋体"/>
                <w:sz w:val="18"/>
                <w:szCs w:val="18"/>
              </w:rPr>
              <w:t>3.出现差错3-4次1.2分</w:t>
            </w:r>
            <w:r>
              <w:rPr>
                <w:rFonts w:hint="eastAsia" w:ascii="宋体" w:hAnsi="宋体" w:cs="宋体"/>
                <w:sz w:val="18"/>
                <w:szCs w:val="18"/>
              </w:rPr>
              <w:br w:type="textWrapping"/>
            </w:r>
            <w:r>
              <w:rPr>
                <w:rFonts w:hint="eastAsia" w:ascii="宋体" w:hAnsi="宋体" w:cs="宋体"/>
                <w:sz w:val="18"/>
                <w:szCs w:val="18"/>
              </w:rPr>
              <w:t>4.出现差错5次以上1分（含5次）</w:t>
            </w:r>
          </w:p>
        </w:tc>
      </w:tr>
      <w:tr>
        <w:tblPrEx>
          <w:tblLayout w:type="fixed"/>
          <w:tblCellMar>
            <w:top w:w="0" w:type="dxa"/>
            <w:left w:w="108" w:type="dxa"/>
            <w:bottom w:w="0" w:type="dxa"/>
            <w:right w:w="108" w:type="dxa"/>
          </w:tblCellMar>
        </w:tblPrEx>
        <w:trPr>
          <w:trHeight w:val="1215" w:hRule="atLeast"/>
        </w:trPr>
        <w:tc>
          <w:tcPr>
            <w:tcW w:w="94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ascii="宋体" w:hAnsi="宋体" w:cs="宋体"/>
                <w:sz w:val="18"/>
                <w:szCs w:val="18"/>
              </w:rPr>
            </w:pPr>
          </w:p>
        </w:tc>
        <w:tc>
          <w:tcPr>
            <w:tcW w:w="2835"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毕业论文（设计）各环节管理工作（含毕业论文（设计）选题、答辩及推优等）（2分）</w:t>
            </w:r>
          </w:p>
        </w:tc>
        <w:tc>
          <w:tcPr>
            <w:tcW w:w="4836"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1.及时无差错2分</w:t>
            </w:r>
            <w:r>
              <w:rPr>
                <w:rFonts w:hint="eastAsia" w:ascii="宋体" w:hAnsi="宋体" w:cs="宋体"/>
                <w:sz w:val="18"/>
                <w:szCs w:val="18"/>
              </w:rPr>
              <w:br w:type="textWrapping"/>
            </w:r>
            <w:r>
              <w:rPr>
                <w:rFonts w:hint="eastAsia" w:ascii="宋体" w:hAnsi="宋体" w:cs="宋体"/>
                <w:sz w:val="18"/>
                <w:szCs w:val="18"/>
              </w:rPr>
              <w:t>2.不够及时或出现差错2次以下1.6分</w:t>
            </w:r>
            <w:r>
              <w:rPr>
                <w:rFonts w:hint="eastAsia" w:ascii="宋体" w:hAnsi="宋体" w:cs="宋体"/>
                <w:sz w:val="18"/>
                <w:szCs w:val="18"/>
              </w:rPr>
              <w:br w:type="textWrapping"/>
            </w:r>
            <w:r>
              <w:rPr>
                <w:rFonts w:hint="eastAsia" w:ascii="宋体" w:hAnsi="宋体" w:cs="宋体"/>
                <w:sz w:val="18"/>
                <w:szCs w:val="18"/>
              </w:rPr>
              <w:t>3.出现差错3-4次1.2分</w:t>
            </w:r>
            <w:r>
              <w:rPr>
                <w:rFonts w:hint="eastAsia" w:ascii="宋体" w:hAnsi="宋体" w:cs="宋体"/>
                <w:sz w:val="18"/>
                <w:szCs w:val="18"/>
              </w:rPr>
              <w:br w:type="textWrapping"/>
            </w:r>
            <w:r>
              <w:rPr>
                <w:rFonts w:hint="eastAsia" w:ascii="宋体" w:hAnsi="宋体" w:cs="宋体"/>
                <w:sz w:val="18"/>
                <w:szCs w:val="18"/>
              </w:rPr>
              <w:t>4.出现差错5次以上1分（含5次）</w:t>
            </w:r>
          </w:p>
        </w:tc>
      </w:tr>
      <w:tr>
        <w:tblPrEx>
          <w:tblLayout w:type="fixed"/>
          <w:tblCellMar>
            <w:top w:w="0" w:type="dxa"/>
            <w:left w:w="108" w:type="dxa"/>
            <w:bottom w:w="0" w:type="dxa"/>
            <w:right w:w="108" w:type="dxa"/>
          </w:tblCellMar>
        </w:tblPrEx>
        <w:trPr>
          <w:trHeight w:val="984" w:hRule="atLeast"/>
        </w:trPr>
        <w:tc>
          <w:tcPr>
            <w:tcW w:w="94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教研管理工作（2分）</w:t>
            </w:r>
          </w:p>
        </w:tc>
        <w:tc>
          <w:tcPr>
            <w:tcW w:w="2835"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教研管理通知的接收及传达工作（1分）</w:t>
            </w:r>
          </w:p>
        </w:tc>
        <w:tc>
          <w:tcPr>
            <w:tcW w:w="4836"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1.及时无差错1分</w:t>
            </w:r>
            <w:r>
              <w:rPr>
                <w:rFonts w:hint="eastAsia" w:ascii="宋体" w:hAnsi="宋体" w:cs="宋体"/>
                <w:sz w:val="18"/>
                <w:szCs w:val="18"/>
              </w:rPr>
              <w:br w:type="textWrapping"/>
            </w:r>
            <w:r>
              <w:rPr>
                <w:rFonts w:hint="eastAsia" w:ascii="宋体" w:hAnsi="宋体" w:cs="宋体"/>
                <w:sz w:val="18"/>
                <w:szCs w:val="18"/>
              </w:rPr>
              <w:t>2.不够及时或出现差错2次以下0.8分（含2次）</w:t>
            </w:r>
            <w:r>
              <w:rPr>
                <w:rFonts w:hint="eastAsia" w:ascii="宋体" w:hAnsi="宋体" w:cs="宋体"/>
                <w:sz w:val="18"/>
                <w:szCs w:val="18"/>
              </w:rPr>
              <w:br w:type="textWrapping"/>
            </w:r>
            <w:r>
              <w:rPr>
                <w:rFonts w:hint="eastAsia" w:ascii="宋体" w:hAnsi="宋体" w:cs="宋体"/>
                <w:sz w:val="18"/>
                <w:szCs w:val="18"/>
              </w:rPr>
              <w:t>3.出现差错3-4次0.6分</w:t>
            </w:r>
            <w:r>
              <w:rPr>
                <w:rFonts w:hint="eastAsia" w:ascii="宋体" w:hAnsi="宋体" w:cs="宋体"/>
                <w:sz w:val="18"/>
                <w:szCs w:val="18"/>
              </w:rPr>
              <w:br w:type="textWrapping"/>
            </w:r>
            <w:r>
              <w:rPr>
                <w:rFonts w:hint="eastAsia" w:ascii="宋体" w:hAnsi="宋体" w:cs="宋体"/>
                <w:sz w:val="18"/>
                <w:szCs w:val="18"/>
              </w:rPr>
              <w:t>4.出现差错5次以上0.5分（含5次）</w:t>
            </w:r>
          </w:p>
        </w:tc>
      </w:tr>
      <w:tr>
        <w:tblPrEx>
          <w:tblLayout w:type="fixed"/>
          <w:tblCellMar>
            <w:top w:w="0" w:type="dxa"/>
            <w:left w:w="108" w:type="dxa"/>
            <w:bottom w:w="0" w:type="dxa"/>
            <w:right w:w="108" w:type="dxa"/>
          </w:tblCellMar>
        </w:tblPrEx>
        <w:trPr>
          <w:trHeight w:val="1173" w:hRule="atLeast"/>
        </w:trPr>
        <w:tc>
          <w:tcPr>
            <w:tcW w:w="94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ascii="宋体" w:hAnsi="宋体" w:cs="宋体"/>
                <w:sz w:val="18"/>
                <w:szCs w:val="18"/>
              </w:rPr>
            </w:pPr>
          </w:p>
        </w:tc>
        <w:tc>
          <w:tcPr>
            <w:tcW w:w="2835"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教研工作统计及教研积分核算（1分）</w:t>
            </w:r>
          </w:p>
        </w:tc>
        <w:tc>
          <w:tcPr>
            <w:tcW w:w="4836"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1.及时无差错1分</w:t>
            </w:r>
            <w:r>
              <w:rPr>
                <w:rFonts w:hint="eastAsia" w:ascii="宋体" w:hAnsi="宋体" w:cs="宋体"/>
                <w:sz w:val="18"/>
                <w:szCs w:val="18"/>
              </w:rPr>
              <w:br w:type="textWrapping"/>
            </w:r>
            <w:r>
              <w:rPr>
                <w:rFonts w:hint="eastAsia" w:ascii="宋体" w:hAnsi="宋体" w:cs="宋体"/>
                <w:sz w:val="18"/>
                <w:szCs w:val="18"/>
              </w:rPr>
              <w:t>2.不够及时或出现差错2次以下0.8分（含2次）</w:t>
            </w:r>
            <w:r>
              <w:rPr>
                <w:rFonts w:hint="eastAsia" w:ascii="宋体" w:hAnsi="宋体" w:cs="宋体"/>
                <w:sz w:val="18"/>
                <w:szCs w:val="18"/>
              </w:rPr>
              <w:br w:type="textWrapping"/>
            </w:r>
            <w:r>
              <w:rPr>
                <w:rFonts w:hint="eastAsia" w:ascii="宋体" w:hAnsi="宋体" w:cs="宋体"/>
                <w:sz w:val="18"/>
                <w:szCs w:val="18"/>
              </w:rPr>
              <w:t>3.出现差错3-4次0.6分</w:t>
            </w:r>
            <w:r>
              <w:rPr>
                <w:rFonts w:hint="eastAsia" w:ascii="宋体" w:hAnsi="宋体" w:cs="宋体"/>
                <w:sz w:val="18"/>
                <w:szCs w:val="18"/>
              </w:rPr>
              <w:br w:type="textWrapping"/>
            </w:r>
            <w:r>
              <w:rPr>
                <w:rFonts w:hint="eastAsia" w:ascii="宋体" w:hAnsi="宋体" w:cs="宋体"/>
                <w:sz w:val="18"/>
                <w:szCs w:val="18"/>
              </w:rPr>
              <w:t>4.出现差错5次以上0.5分（含5次）</w:t>
            </w:r>
          </w:p>
        </w:tc>
      </w:tr>
      <w:tr>
        <w:tblPrEx>
          <w:tblLayout w:type="fixed"/>
          <w:tblCellMar>
            <w:top w:w="0" w:type="dxa"/>
            <w:left w:w="108" w:type="dxa"/>
            <w:bottom w:w="0" w:type="dxa"/>
            <w:right w:w="108" w:type="dxa"/>
          </w:tblCellMar>
        </w:tblPrEx>
        <w:trPr>
          <w:trHeight w:val="363" w:hRule="atLeast"/>
        </w:trPr>
        <w:tc>
          <w:tcPr>
            <w:tcW w:w="942" w:type="dxa"/>
            <w:vMerge w:val="restart"/>
            <w:tcBorders>
              <w:top w:val="nil"/>
              <w:left w:val="single" w:color="auto" w:sz="4" w:space="0"/>
              <w:right w:val="single" w:color="auto" w:sz="4" w:space="0"/>
            </w:tcBorders>
            <w:vAlign w:val="center"/>
          </w:tcPr>
          <w:p>
            <w:pPr>
              <w:spacing w:line="200" w:lineRule="exact"/>
              <w:rPr>
                <w:rFonts w:ascii="宋体" w:hAnsi="宋体" w:cs="宋体"/>
                <w:b/>
                <w:bCs/>
                <w:sz w:val="18"/>
                <w:szCs w:val="18"/>
              </w:rPr>
            </w:pPr>
            <w:r>
              <w:rPr>
                <w:rFonts w:hint="eastAsia" w:ascii="宋体" w:hAnsi="宋体" w:cs="宋体"/>
                <w:sz w:val="18"/>
                <w:szCs w:val="18"/>
              </w:rPr>
              <w:t>科研管理工作（2分）</w:t>
            </w:r>
          </w:p>
        </w:tc>
        <w:tc>
          <w:tcPr>
            <w:tcW w:w="2835"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b/>
                <w:bCs/>
                <w:color w:val="000000"/>
                <w:sz w:val="18"/>
                <w:szCs w:val="18"/>
              </w:rPr>
            </w:pPr>
            <w:r>
              <w:rPr>
                <w:rFonts w:hint="eastAsia" w:ascii="宋体" w:hAnsi="宋体" w:cs="宋体"/>
                <w:sz w:val="18"/>
                <w:szCs w:val="18"/>
              </w:rPr>
              <w:t>科研管理通知的接收及传达工作（1分）</w:t>
            </w:r>
          </w:p>
        </w:tc>
        <w:tc>
          <w:tcPr>
            <w:tcW w:w="4836"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1.及时无差错1分</w:t>
            </w:r>
            <w:r>
              <w:rPr>
                <w:rFonts w:hint="eastAsia" w:ascii="宋体" w:hAnsi="宋体" w:cs="宋体"/>
                <w:sz w:val="18"/>
                <w:szCs w:val="18"/>
              </w:rPr>
              <w:br w:type="textWrapping"/>
            </w:r>
            <w:r>
              <w:rPr>
                <w:rFonts w:hint="eastAsia" w:ascii="宋体" w:hAnsi="宋体" w:cs="宋体"/>
                <w:sz w:val="18"/>
                <w:szCs w:val="18"/>
              </w:rPr>
              <w:t>2.不够及时或出现差错2次以下0.8分（含2次）</w:t>
            </w:r>
            <w:r>
              <w:rPr>
                <w:rFonts w:hint="eastAsia" w:ascii="宋体" w:hAnsi="宋体" w:cs="宋体"/>
                <w:sz w:val="18"/>
                <w:szCs w:val="18"/>
              </w:rPr>
              <w:br w:type="textWrapping"/>
            </w:r>
            <w:r>
              <w:rPr>
                <w:rFonts w:hint="eastAsia" w:ascii="宋体" w:hAnsi="宋体" w:cs="宋体"/>
                <w:sz w:val="18"/>
                <w:szCs w:val="18"/>
              </w:rPr>
              <w:t>3.出现差错3-4次0.6分</w:t>
            </w:r>
            <w:r>
              <w:rPr>
                <w:rFonts w:hint="eastAsia" w:ascii="宋体" w:hAnsi="宋体" w:cs="宋体"/>
                <w:sz w:val="18"/>
                <w:szCs w:val="18"/>
              </w:rPr>
              <w:br w:type="textWrapping"/>
            </w:r>
            <w:r>
              <w:rPr>
                <w:rFonts w:hint="eastAsia" w:ascii="宋体" w:hAnsi="宋体" w:cs="宋体"/>
                <w:sz w:val="18"/>
                <w:szCs w:val="18"/>
              </w:rPr>
              <w:t>4.出现差错5次以上0.5分（含5次）</w:t>
            </w:r>
          </w:p>
        </w:tc>
      </w:tr>
      <w:tr>
        <w:tblPrEx>
          <w:tblLayout w:type="fixed"/>
          <w:tblCellMar>
            <w:top w:w="0" w:type="dxa"/>
            <w:left w:w="108" w:type="dxa"/>
            <w:bottom w:w="0" w:type="dxa"/>
            <w:right w:w="108" w:type="dxa"/>
          </w:tblCellMar>
        </w:tblPrEx>
        <w:trPr>
          <w:trHeight w:val="1030" w:hRule="atLeast"/>
        </w:trPr>
        <w:tc>
          <w:tcPr>
            <w:tcW w:w="942" w:type="dxa"/>
            <w:vMerge w:val="continue"/>
            <w:tcBorders>
              <w:left w:val="single" w:color="auto" w:sz="4" w:space="0"/>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p>
        </w:tc>
        <w:tc>
          <w:tcPr>
            <w:tcW w:w="2835"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科研工作统计及科研积分核算（1分）</w:t>
            </w:r>
          </w:p>
        </w:tc>
        <w:tc>
          <w:tcPr>
            <w:tcW w:w="4836" w:type="dxa"/>
            <w:tcBorders>
              <w:top w:val="nil"/>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1.及时无差错1分</w:t>
            </w:r>
            <w:r>
              <w:rPr>
                <w:rFonts w:hint="eastAsia" w:ascii="宋体" w:hAnsi="宋体" w:cs="宋体"/>
                <w:sz w:val="18"/>
                <w:szCs w:val="18"/>
              </w:rPr>
              <w:br w:type="textWrapping"/>
            </w:r>
            <w:r>
              <w:rPr>
                <w:rFonts w:hint="eastAsia" w:ascii="宋体" w:hAnsi="宋体" w:cs="宋体"/>
                <w:sz w:val="18"/>
                <w:szCs w:val="18"/>
              </w:rPr>
              <w:t>2.不够及时或出现差错2次以下0.8分（含2次）</w:t>
            </w:r>
            <w:r>
              <w:rPr>
                <w:rFonts w:hint="eastAsia" w:ascii="宋体" w:hAnsi="宋体" w:cs="宋体"/>
                <w:sz w:val="18"/>
                <w:szCs w:val="18"/>
              </w:rPr>
              <w:br w:type="textWrapping"/>
            </w:r>
            <w:r>
              <w:rPr>
                <w:rFonts w:hint="eastAsia" w:ascii="宋体" w:hAnsi="宋体" w:cs="宋体"/>
                <w:sz w:val="18"/>
                <w:szCs w:val="18"/>
              </w:rPr>
              <w:t>3.出现差错3-4次0.6分</w:t>
            </w:r>
            <w:r>
              <w:rPr>
                <w:rFonts w:hint="eastAsia" w:ascii="宋体" w:hAnsi="宋体" w:cs="宋体"/>
                <w:sz w:val="18"/>
                <w:szCs w:val="18"/>
              </w:rPr>
              <w:br w:type="textWrapping"/>
            </w:r>
            <w:r>
              <w:rPr>
                <w:rFonts w:hint="eastAsia" w:ascii="宋体" w:hAnsi="宋体" w:cs="宋体"/>
                <w:sz w:val="18"/>
                <w:szCs w:val="18"/>
              </w:rPr>
              <w:t>4.出现差错5次以上0.5分（含5次）</w:t>
            </w:r>
          </w:p>
        </w:tc>
      </w:tr>
      <w:tr>
        <w:tblPrEx>
          <w:tblLayout w:type="fixed"/>
          <w:tblCellMar>
            <w:top w:w="0" w:type="dxa"/>
            <w:left w:w="108" w:type="dxa"/>
            <w:bottom w:w="0" w:type="dxa"/>
            <w:right w:w="108" w:type="dxa"/>
          </w:tblCellMar>
        </w:tblPrEx>
        <w:trPr>
          <w:trHeight w:val="1130" w:hRule="atLeast"/>
        </w:trPr>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综合评价</w:t>
            </w:r>
            <w:r>
              <w:rPr>
                <w:rFonts w:hint="eastAsia" w:ascii="宋体" w:hAnsi="宋体" w:cs="宋体"/>
                <w:sz w:val="18"/>
                <w:szCs w:val="18"/>
              </w:rPr>
              <w:br w:type="textWrapping"/>
            </w:r>
            <w:r>
              <w:rPr>
                <w:rFonts w:hint="eastAsia" w:ascii="宋体" w:hAnsi="宋体" w:cs="宋体"/>
                <w:sz w:val="18"/>
                <w:szCs w:val="18"/>
              </w:rPr>
              <w:t>（2分）</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根据工作态度及秘书在教学单位和教务处之间联系开展工作的多方面情况综合评价打分。</w:t>
            </w:r>
          </w:p>
        </w:tc>
        <w:tc>
          <w:tcPr>
            <w:tcW w:w="4836"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rPr>
                <w:rFonts w:ascii="宋体" w:hAnsi="宋体" w:cs="宋体"/>
                <w:sz w:val="18"/>
                <w:szCs w:val="18"/>
              </w:rPr>
            </w:pPr>
            <w:r>
              <w:rPr>
                <w:rFonts w:hint="eastAsia" w:ascii="宋体" w:hAnsi="宋体" w:cs="宋体"/>
                <w:sz w:val="18"/>
                <w:szCs w:val="18"/>
              </w:rPr>
              <w:t>1.工作态度好且联系工作开展情况很好2分</w:t>
            </w:r>
          </w:p>
          <w:p>
            <w:pPr>
              <w:widowControl/>
              <w:spacing w:line="200" w:lineRule="exact"/>
              <w:rPr>
                <w:rFonts w:ascii="宋体" w:hAnsi="宋体" w:cs="宋体"/>
                <w:sz w:val="18"/>
                <w:szCs w:val="18"/>
              </w:rPr>
            </w:pPr>
            <w:r>
              <w:rPr>
                <w:rFonts w:hint="eastAsia" w:ascii="宋体" w:hAnsi="宋体" w:cs="宋体"/>
                <w:sz w:val="18"/>
                <w:szCs w:val="18"/>
              </w:rPr>
              <w:t>2.工作态度好且联系工作开展情况较好1.6分</w:t>
            </w:r>
          </w:p>
          <w:p>
            <w:pPr>
              <w:widowControl/>
              <w:spacing w:line="200" w:lineRule="exact"/>
              <w:rPr>
                <w:rFonts w:ascii="宋体" w:hAnsi="宋体" w:cs="宋体"/>
                <w:sz w:val="18"/>
                <w:szCs w:val="18"/>
              </w:rPr>
            </w:pPr>
            <w:r>
              <w:rPr>
                <w:rFonts w:hint="eastAsia" w:ascii="宋体" w:hAnsi="宋体" w:cs="宋体"/>
                <w:sz w:val="18"/>
                <w:szCs w:val="18"/>
              </w:rPr>
              <w:t>3.工作态度好且联系工作开展情况一般1.2分</w:t>
            </w:r>
          </w:p>
          <w:p>
            <w:pPr>
              <w:widowControl/>
              <w:spacing w:line="200" w:lineRule="exact"/>
              <w:rPr>
                <w:rFonts w:ascii="宋体" w:hAnsi="宋体" w:cs="宋体"/>
                <w:sz w:val="18"/>
                <w:szCs w:val="18"/>
              </w:rPr>
            </w:pPr>
            <w:r>
              <w:rPr>
                <w:rFonts w:hint="eastAsia" w:ascii="宋体" w:hAnsi="宋体" w:cs="宋体"/>
                <w:sz w:val="18"/>
                <w:szCs w:val="18"/>
              </w:rPr>
              <w:t>4.工作态度好且联系工作开展情况较差1分</w:t>
            </w:r>
          </w:p>
          <w:p>
            <w:pPr>
              <w:widowControl/>
              <w:spacing w:line="200" w:lineRule="exact"/>
              <w:rPr>
                <w:rFonts w:ascii="宋体" w:hAnsi="宋体" w:cs="宋体"/>
                <w:sz w:val="18"/>
                <w:szCs w:val="18"/>
              </w:rPr>
            </w:pPr>
            <w:r>
              <w:rPr>
                <w:rFonts w:hint="eastAsia" w:ascii="宋体" w:hAnsi="宋体" w:cs="宋体"/>
                <w:sz w:val="18"/>
                <w:szCs w:val="18"/>
              </w:rPr>
              <w:t>5.工作态度好且联系工作开展情况很差0.6分</w:t>
            </w:r>
          </w:p>
        </w:tc>
      </w:tr>
    </w:tbl>
    <w:p>
      <w:pPr>
        <w:spacing w:line="200" w:lineRule="exact"/>
        <w:ind w:firstLine="405"/>
        <w:rPr>
          <w:rFonts w:hint="eastAsia"/>
          <w:b/>
          <w:sz w:val="21"/>
          <w:szCs w:val="21"/>
        </w:rPr>
      </w:pPr>
    </w:p>
    <w:p>
      <w:pPr>
        <w:rPr>
          <w:b/>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decimal"/>
      <w:pStyle w:val="2"/>
      <w:lvlText w:val="%1."/>
      <w:lvlJc w:val="left"/>
      <w:pPr>
        <w:tabs>
          <w:tab w:val="left" w:pos="0"/>
        </w:tabs>
        <w:ind w:left="0" w:firstLine="0"/>
      </w:pPr>
    </w:lvl>
    <w:lvl w:ilvl="1" w:tentative="0">
      <w:start w:val="1"/>
      <w:numFmt w:val="decimal"/>
      <w:pStyle w:val="4"/>
      <w:lvlText w:val="%1.%2"/>
      <w:lvlJc w:val="left"/>
      <w:pPr>
        <w:tabs>
          <w:tab w:val="left" w:pos="0"/>
        </w:tabs>
        <w:ind w:left="0" w:firstLine="0"/>
      </w:pPr>
    </w:lvl>
    <w:lvl w:ilvl="2" w:tentative="0">
      <w:start w:val="1"/>
      <w:numFmt w:val="decimal"/>
      <w:lvlText w:val="%1.%2.%3"/>
      <w:lvlJc w:val="left"/>
      <w:pPr>
        <w:tabs>
          <w:tab w:val="left" w:pos="0"/>
        </w:tabs>
        <w:ind w:left="0" w:firstLine="0"/>
      </w:pPr>
    </w:lvl>
    <w:lvl w:ilvl="3" w:tentative="0">
      <w:start w:val="1"/>
      <w:numFmt w:val="decimal"/>
      <w:suff w:val="space"/>
      <w:lvlText w:val="%1.%2.%3.%4"/>
      <w:lvlJc w:val="left"/>
      <w:pPr>
        <w:ind w:left="0" w:firstLine="0"/>
      </w:pPr>
    </w:lvl>
    <w:lvl w:ilvl="4" w:tentative="0">
      <w:start w:val="1"/>
      <w:numFmt w:val="decimal"/>
      <w:suff w:val="space"/>
      <w:lvlText w:val="%1.%2.%3.%4.%5"/>
      <w:lvlJc w:val="left"/>
      <w:pPr>
        <w:ind w:left="0" w:firstLine="0"/>
      </w:pPr>
    </w:lvl>
    <w:lvl w:ilvl="5" w:tentative="0">
      <w:start w:val="1"/>
      <w:numFmt w:val="decimal"/>
      <w:suff w:val="space"/>
      <w:lvlText w:val="%1.%2.%3.%4.%5.%6"/>
      <w:lvlJc w:val="left"/>
      <w:pPr>
        <w:ind w:left="0" w:firstLine="0"/>
      </w:pPr>
    </w:lvl>
    <w:lvl w:ilvl="6" w:tentative="0">
      <w:start w:val="1"/>
      <w:numFmt w:val="decimal"/>
      <w:lvlText w:val="%1.%2.%3.%4.%5.%6.%7"/>
      <w:lvlJc w:val="left"/>
      <w:pPr>
        <w:tabs>
          <w:tab w:val="left" w:pos="0"/>
        </w:tabs>
        <w:ind w:left="0" w:firstLine="0"/>
      </w:pPr>
    </w:lvl>
    <w:lvl w:ilvl="7" w:tentative="0">
      <w:start w:val="1"/>
      <w:numFmt w:val="decimal"/>
      <w:lvlText w:val="%1.%2.%3.%4.%5.%6.%7.%8"/>
      <w:lvlJc w:val="left"/>
      <w:pPr>
        <w:tabs>
          <w:tab w:val="left" w:pos="0"/>
        </w:tabs>
        <w:ind w:left="0" w:firstLine="0"/>
      </w:pPr>
    </w:lvl>
    <w:lvl w:ilvl="8" w:tentative="0">
      <w:start w:val="1"/>
      <w:numFmt w:val="decimal"/>
      <w:lvlText w:val="%1.%2.%3.%4.%5.%6.%7.%8.%9"/>
      <w:lvlJc w:val="left"/>
      <w:pPr>
        <w:tabs>
          <w:tab w:val="left" w:pos="0"/>
        </w:tabs>
        <w:ind w:left="0" w:firstLine="0"/>
      </w:pPr>
    </w:lvl>
  </w:abstractNum>
  <w:abstractNum w:abstractNumId="1">
    <w:nsid w:val="227105B4"/>
    <w:multiLevelType w:val="multilevel"/>
    <w:tmpl w:val="227105B4"/>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7624129"/>
    <w:multiLevelType w:val="multilevel"/>
    <w:tmpl w:val="77624129"/>
    <w:lvl w:ilvl="0" w:tentative="0">
      <w:start w:val="2"/>
      <w:numFmt w:val="japaneseCounting"/>
      <w:lvlText w:val="（%1）"/>
      <w:lvlJc w:val="left"/>
      <w:pPr>
        <w:ind w:left="1119" w:hanging="76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4ECD"/>
    <w:rsid w:val="00136BA1"/>
    <w:rsid w:val="003C2073"/>
    <w:rsid w:val="00507AB3"/>
    <w:rsid w:val="00610A8E"/>
    <w:rsid w:val="006838A7"/>
    <w:rsid w:val="007064F6"/>
    <w:rsid w:val="00724EA9"/>
    <w:rsid w:val="007521A7"/>
    <w:rsid w:val="0075429C"/>
    <w:rsid w:val="007E57E2"/>
    <w:rsid w:val="008B6052"/>
    <w:rsid w:val="008B7E11"/>
    <w:rsid w:val="009153F1"/>
    <w:rsid w:val="00A65C5F"/>
    <w:rsid w:val="00A96A8E"/>
    <w:rsid w:val="00AB3740"/>
    <w:rsid w:val="00B116A3"/>
    <w:rsid w:val="00C850FE"/>
    <w:rsid w:val="00CB70AE"/>
    <w:rsid w:val="00D44B7C"/>
    <w:rsid w:val="00D80602"/>
    <w:rsid w:val="00EA4ECD"/>
    <w:rsid w:val="00ED2F6D"/>
    <w:rsid w:val="00F250C8"/>
    <w:rsid w:val="00F36330"/>
    <w:rsid w:val="00F9533A"/>
    <w:rsid w:val="396E39C4"/>
    <w:rsid w:val="3F0D6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6"/>
        <o:r id="V:Rule7" type="connector" idref="#_x0000_s1038"/>
        <o:r id="V:Rule8" type="connector" idref="#_x0000_s1039"/>
        <o:r id="V:Rule9" type="connector" idref="#_x0000_s1071"/>
        <o:r id="V:Rule10" type="connector" idref="#_x0000_s1072"/>
        <o:r id="V:Rule11" type="connector" idref="#_x0000_s1073"/>
        <o:r id="V:Rule12" type="connector" idref="#_x0000_s1074"/>
        <o:r id="V:Rule13" type="connector" idref="#_x0000_s1075"/>
        <o:r id="V:Rule14" type="connector" idref="#_x0000_s1077"/>
        <o:r id="V:Rule15" type="connector" idref="#_x0000_s1078"/>
        <o:r id="V:Rule16" type="connector" idref="#_x0000_s1079"/>
        <o:r id="V:Rule17" type="connector" idref="#_x0000_s1080"/>
        <o:r id="V:Rule18" type="connector" idref="#_x0000_s1081"/>
        <o:r id="V:Rule19" type="connector" idref="#_x0000_s1082"/>
        <o:r id="V:Rule20" type="connector" idref="#_x0000_s1083"/>
        <o:r id="V:Rule21" type="connector" idref="#_x0000_s1084"/>
        <o:r id="V:Rule22" type="connector" idref="#_x0000_s1085"/>
        <o:r id="V:Rule23" type="connector" idref="#_x0000_s1102"/>
        <o:r id="V:Rule24" type="connector" idref="#_x0000_s1103"/>
        <o:r id="V:Rule25" type="connector" idref="#_x0000_s1105"/>
        <o:r id="V:Rule26" type="connector" idref="#_x0000_s1107"/>
        <o:r id="V:Rule27" type="connector" idref="#_x0000_s1109"/>
        <o:r id="V:Rule28" type="connector" idref="#_x0000_s1110"/>
        <o:r id="V:Rule29" type="connector" idref="#_x0000_s1111"/>
        <o:r id="V:Rule30" type="connector" idref="#_x0000_s1112"/>
        <o:r id="V:Rule31" type="connector" idref="#_x0000_s1114"/>
        <o:r id="V:Rule32" type="connector" idref="#_x0000_s1115"/>
        <o:r id="V:Rule33" type="connector" idref="#_x0000_s1116"/>
        <o:r id="V:Rule34" type="connector" idref="#_x0000_s1117"/>
        <o:r id="V:Rule35" type="connector" idref="#_x0000_s1124"/>
        <o:r id="V:Rule36" type="connector" idref="#_x0000_s1127"/>
        <o:r id="V:Rule37" type="connector" idref="#_x0000_s1128"/>
        <o:r id="V:Rule38" type="connector" idref="#_x0000_s1129"/>
        <o:r id="V:Rule39" type="connector" idref="#_x0000_s1130"/>
        <o:r id="V:Rule40" type="connector" idref="#_x0000_s1131"/>
        <o:r id="V:Rule41" type="connector" idref="#_x0000_s1132"/>
        <o:r id="V:Rule42" type="connector" idref="#_x0000_s1135"/>
        <o:r id="V:Rule43" type="connector" idref="#_x0000_s1136"/>
        <o:r id="V:Rule44" type="connector" idref="#_x0000_s1137"/>
        <o:r id="V:Rule45" type="connector" idref="#_x0000_s1138"/>
        <o:r id="V:Rule46" type="connector" idref="#_x0000_s1139"/>
        <o:r id="V:Rule47" type="connector" idref="#_x0000_s1140"/>
        <o:r id="V:Rule48" type="connector" idref="#_x0000_s1141"/>
        <o:r id="V:Rule49" type="connector" idref="#_x0000_s114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240" w:lineRule="atLeast"/>
    </w:pPr>
    <w:rPr>
      <w:rFonts w:ascii="Arial" w:hAnsi="Arial" w:eastAsia="宋体" w:cs="Times New Roman"/>
      <w:kern w:val="0"/>
      <w:sz w:val="20"/>
      <w:szCs w:val="20"/>
      <w:lang w:val="en-US" w:eastAsia="zh-CN" w:bidi="ar-SA"/>
    </w:rPr>
  </w:style>
  <w:style w:type="paragraph" w:styleId="2">
    <w:name w:val="heading 1"/>
    <w:basedOn w:val="1"/>
    <w:next w:val="3"/>
    <w:link w:val="11"/>
    <w:qFormat/>
    <w:uiPriority w:val="0"/>
    <w:pPr>
      <w:keepNext/>
      <w:numPr>
        <w:ilvl w:val="0"/>
        <w:numId w:val="1"/>
      </w:numPr>
      <w:spacing w:before="120" w:after="60"/>
      <w:outlineLvl w:val="0"/>
    </w:pPr>
    <w:rPr>
      <w:b/>
      <w:bCs/>
      <w:sz w:val="32"/>
      <w:szCs w:val="32"/>
    </w:rPr>
  </w:style>
  <w:style w:type="paragraph" w:styleId="4">
    <w:name w:val="heading 2"/>
    <w:basedOn w:val="2"/>
    <w:next w:val="3"/>
    <w:link w:val="12"/>
    <w:semiHidden/>
    <w:unhideWhenUsed/>
    <w:qFormat/>
    <w:uiPriority w:val="0"/>
    <w:pPr>
      <w:numPr>
        <w:ilvl w:val="1"/>
      </w:numPr>
      <w:outlineLvl w:val="1"/>
    </w:pPr>
    <w:rPr>
      <w:sz w:val="24"/>
      <w:szCs w:val="24"/>
    </w:rPr>
  </w:style>
  <w:style w:type="paragraph" w:styleId="5">
    <w:name w:val="heading 4"/>
    <w:basedOn w:val="1"/>
    <w:next w:val="1"/>
    <w:link w:val="17"/>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3"/>
    <w:semiHidden/>
    <w:unhideWhenUsed/>
    <w:qFormat/>
    <w:uiPriority w:val="99"/>
    <w:pPr>
      <w:spacing w:after="120"/>
    </w:pPr>
  </w:style>
  <w:style w:type="paragraph" w:styleId="6">
    <w:name w:val="Balloon Text"/>
    <w:basedOn w:val="1"/>
    <w:link w:val="10"/>
    <w:semiHidden/>
    <w:unhideWhenUsed/>
    <w:uiPriority w:val="99"/>
    <w:rPr>
      <w:sz w:val="18"/>
      <w:szCs w:val="18"/>
    </w:rPr>
  </w:style>
  <w:style w:type="paragraph" w:styleId="7">
    <w:name w:val="Normal (Web)"/>
    <w:basedOn w:val="1"/>
    <w:unhideWhenUsed/>
    <w:uiPriority w:val="99"/>
    <w:pPr>
      <w:widowControl/>
      <w:snapToGrid/>
      <w:spacing w:before="100" w:beforeAutospacing="1" w:after="100" w:afterAutospacing="1" w:line="240" w:lineRule="auto"/>
    </w:pPr>
    <w:rPr>
      <w:rFonts w:ascii="宋体" w:hAnsi="宋体" w:cs="宋体"/>
      <w:sz w:val="24"/>
      <w:szCs w:val="24"/>
      <w:u w:color="943734" w:themeColor="accent2" w:themeShade="BF"/>
    </w:rPr>
  </w:style>
  <w:style w:type="character" w:customStyle="1" w:styleId="10">
    <w:name w:val="批注框文本 Char"/>
    <w:basedOn w:val="8"/>
    <w:link w:val="6"/>
    <w:semiHidden/>
    <w:uiPriority w:val="99"/>
    <w:rPr>
      <w:sz w:val="18"/>
      <w:szCs w:val="18"/>
    </w:rPr>
  </w:style>
  <w:style w:type="character" w:customStyle="1" w:styleId="11">
    <w:name w:val="标题 1 Char"/>
    <w:basedOn w:val="8"/>
    <w:link w:val="2"/>
    <w:uiPriority w:val="0"/>
    <w:rPr>
      <w:rFonts w:ascii="Arial" w:hAnsi="Arial" w:eastAsia="宋体" w:cs="Times New Roman"/>
      <w:b/>
      <w:bCs/>
      <w:kern w:val="0"/>
      <w:sz w:val="32"/>
      <w:szCs w:val="32"/>
    </w:rPr>
  </w:style>
  <w:style w:type="character" w:customStyle="1" w:styleId="12">
    <w:name w:val="标题 2 Char"/>
    <w:basedOn w:val="8"/>
    <w:link w:val="4"/>
    <w:semiHidden/>
    <w:uiPriority w:val="0"/>
    <w:rPr>
      <w:rFonts w:ascii="Arial" w:hAnsi="Arial" w:eastAsia="宋体" w:cs="Times New Roman"/>
      <w:b/>
      <w:bCs/>
      <w:kern w:val="0"/>
      <w:sz w:val="24"/>
      <w:szCs w:val="24"/>
    </w:rPr>
  </w:style>
  <w:style w:type="character" w:customStyle="1" w:styleId="13">
    <w:name w:val="正文文本 Char"/>
    <w:basedOn w:val="8"/>
    <w:link w:val="3"/>
    <w:semiHidden/>
    <w:uiPriority w:val="99"/>
    <w:rPr>
      <w:rFonts w:ascii="Arial" w:hAnsi="Arial" w:eastAsia="宋体" w:cs="Times New Roman"/>
      <w:kern w:val="0"/>
      <w:sz w:val="20"/>
      <w:szCs w:val="20"/>
    </w:rPr>
  </w:style>
  <w:style w:type="paragraph" w:customStyle="1" w:styleId="14">
    <w:name w:val="InfoBlue"/>
    <w:basedOn w:val="1"/>
    <w:next w:val="3"/>
    <w:uiPriority w:val="0"/>
    <w:pPr>
      <w:tabs>
        <w:tab w:val="left" w:pos="540"/>
        <w:tab w:val="left" w:pos="1260"/>
      </w:tabs>
      <w:spacing w:after="120"/>
    </w:pPr>
    <w:rPr>
      <w:iCs/>
    </w:rPr>
  </w:style>
  <w:style w:type="paragraph" w:customStyle="1" w:styleId="15">
    <w:name w:val="Document Title"/>
    <w:basedOn w:val="5"/>
    <w:qFormat/>
    <w:uiPriority w:val="0"/>
    <w:pPr>
      <w:keepLines w:val="0"/>
      <w:widowControl/>
      <w:snapToGrid/>
      <w:spacing w:before="60" w:after="60" w:line="240" w:lineRule="auto"/>
    </w:pPr>
    <w:rPr>
      <w:rFonts w:ascii="Times New Roman" w:hAnsi="Times New Roman" w:eastAsia="Times New Roman" w:cs="Times New Roman"/>
      <w:b w:val="0"/>
      <w:bCs w:val="0"/>
      <w:smallCaps/>
      <w:spacing w:val="120"/>
      <w:sz w:val="36"/>
      <w:szCs w:val="20"/>
      <w:lang w:val="en-AU" w:eastAsia="en-US"/>
    </w:rPr>
  </w:style>
  <w:style w:type="paragraph" w:customStyle="1" w:styleId="16">
    <w:name w:val="Version"/>
    <w:basedOn w:val="1"/>
    <w:qFormat/>
    <w:uiPriority w:val="0"/>
    <w:pPr>
      <w:widowControl/>
      <w:snapToGrid/>
      <w:spacing w:before="60" w:after="60" w:line="240" w:lineRule="auto"/>
      <w:ind w:left="1134"/>
      <w:jc w:val="right"/>
    </w:pPr>
    <w:rPr>
      <w:rFonts w:ascii="Times New Roman" w:hAnsi="Times New Roman" w:eastAsia="Times New Roman"/>
      <w:b/>
      <w:spacing w:val="60"/>
      <w:kern w:val="28"/>
      <w:sz w:val="32"/>
      <w:lang w:val="en-AU" w:eastAsia="en-US"/>
    </w:rPr>
  </w:style>
  <w:style w:type="character" w:customStyle="1" w:styleId="17">
    <w:name w:val="标题 4 Char"/>
    <w:basedOn w:val="8"/>
    <w:link w:val="5"/>
    <w:semiHidden/>
    <w:uiPriority w:val="9"/>
    <w:rPr>
      <w:rFonts w:asciiTheme="majorHAnsi" w:hAnsiTheme="majorHAnsi" w:eastAsiaTheme="majorEastAsia" w:cstheme="majorBidi"/>
      <w:b/>
      <w:bCs/>
      <w:kern w:val="0"/>
      <w:sz w:val="28"/>
      <w:szCs w:val="2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30"/>
    <customShpInfo spid="_x0000_s1031"/>
    <customShpInfo spid="_x0000_s1029"/>
    <customShpInfo spid="_x0000_s1028"/>
    <customShpInfo spid="_x0000_s1035"/>
    <customShpInfo spid="_x0000_s1034"/>
    <customShpInfo spid="_x0000_s1033"/>
    <customShpInfo spid="_x0000_s1071"/>
    <customShpInfo spid="_x0000_s1038"/>
    <customShpInfo spid="_x0000_s1036"/>
    <customShpInfo spid="_x0000_s1127"/>
    <customShpInfo spid="_x0000_s1128"/>
    <customShpInfo spid="_x0000_s1129"/>
    <customShpInfo spid="_x0000_s1039"/>
    <customShpInfo spid="_x0000_s1072"/>
    <customShpInfo spid="_x0000_s1073"/>
    <customShpInfo spid="_x0000_s1074"/>
    <customShpInfo spid="_x0000_s1075"/>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8"/>
    <customShpInfo spid="_x0000_s11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84FF46-6F7B-4EFE-8972-BADB7086A711}">
  <ds:schemaRefs/>
</ds:datastoreItem>
</file>

<file path=docProps/app.xml><?xml version="1.0" encoding="utf-8"?>
<Properties xmlns="http://schemas.openxmlformats.org/officeDocument/2006/extended-properties" xmlns:vt="http://schemas.openxmlformats.org/officeDocument/2006/docPropsVTypes">
  <Template>Normal</Template>
  <Company>dgut</Company>
  <Pages>28</Pages>
  <Words>3024</Words>
  <Characters>17242</Characters>
  <Lines>143</Lines>
  <Paragraphs>40</Paragraphs>
  <TotalTime>1462</TotalTime>
  <ScaleCrop>false</ScaleCrop>
  <LinksUpToDate>false</LinksUpToDate>
  <CharactersWithSpaces>20226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2018-01-09T01:47:00Z</dcterms:created>
  <dc:creator>juxh</dc:creator>
  <cp:lastModifiedBy>言身寸  彦</cp:lastModifiedBy>
  <cp:lastPrinted>2018-01-10T02:34:00Z</cp:lastPrinted>
  <dcterms:modified xsi:type="dcterms:W3CDTF">2018-06-04T08:11:25Z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2052-10.1.0.7346</vt:lpwstr>
  </property>
</Properties>
</file>