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宋体"/>
          <w:b/>
          <w:sz w:val="40"/>
          <w:highlight w:val="none"/>
          <w:lang w:val="en-US" w:eastAsia="zh-CN"/>
        </w:rPr>
      </w:pPr>
      <w:r>
        <w:rPr>
          <w:rFonts w:hint="eastAsia"/>
          <w:b/>
          <w:sz w:val="40"/>
          <w:highlight w:val="none"/>
          <w:lang w:val="en-US" w:eastAsia="zh-CN"/>
        </w:rPr>
        <w:t>合同模版</w:t>
      </w:r>
      <w:bookmarkStart w:id="0" w:name="_GoBack"/>
      <w:bookmarkEnd w:id="0"/>
    </w:p>
    <w:p>
      <w:pPr>
        <w:spacing w:line="360" w:lineRule="auto"/>
        <w:rPr>
          <w:b/>
          <w:sz w:val="40"/>
          <w:highlight w:val="none"/>
        </w:rPr>
      </w:pPr>
    </w:p>
    <w:p>
      <w:pPr>
        <w:spacing w:line="360" w:lineRule="auto"/>
        <w:rPr>
          <w:b/>
          <w:sz w:val="40"/>
          <w:highlight w:val="none"/>
        </w:rPr>
      </w:pPr>
    </w:p>
    <w:p>
      <w:pPr>
        <w:spacing w:line="360" w:lineRule="auto"/>
        <w:jc w:val="center"/>
        <w:rPr>
          <w:b/>
          <w:sz w:val="62"/>
          <w:szCs w:val="52"/>
          <w:highlight w:val="none"/>
        </w:rPr>
      </w:pPr>
      <w:r>
        <w:rPr>
          <w:rFonts w:hint="eastAsia"/>
          <w:b/>
          <w:sz w:val="62"/>
          <w:szCs w:val="52"/>
          <w:highlight w:val="none"/>
        </w:rPr>
        <w:t>东莞理工学院城市学院</w:t>
      </w:r>
    </w:p>
    <w:p>
      <w:pPr>
        <w:spacing w:line="360" w:lineRule="auto"/>
        <w:jc w:val="center"/>
        <w:rPr>
          <w:b/>
          <w:sz w:val="62"/>
          <w:szCs w:val="52"/>
          <w:highlight w:val="none"/>
        </w:rPr>
      </w:pPr>
      <w:r>
        <w:rPr>
          <w:rFonts w:hint="eastAsia"/>
          <w:b/>
          <w:sz w:val="62"/>
          <w:szCs w:val="52"/>
          <w:highlight w:val="none"/>
        </w:rPr>
        <w:t>消防设备维护项目</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ind w:firstLine="3112" w:firstLineChars="500"/>
        <w:rPr>
          <w:b/>
          <w:sz w:val="62"/>
          <w:szCs w:val="52"/>
          <w:highlight w:val="none"/>
        </w:rPr>
      </w:pPr>
      <w:r>
        <w:rPr>
          <w:rFonts w:hint="eastAsia"/>
          <w:b/>
          <w:sz w:val="62"/>
          <w:szCs w:val="52"/>
          <w:highlight w:val="none"/>
        </w:rPr>
        <w:t>合同书</w:t>
      </w:r>
    </w:p>
    <w:p>
      <w:pPr>
        <w:spacing w:line="360" w:lineRule="auto"/>
        <w:ind w:firstLine="2520" w:firstLineChars="1050"/>
        <w:rPr>
          <w:sz w:val="24"/>
          <w:highlight w:val="none"/>
        </w:rPr>
      </w:pPr>
    </w:p>
    <w:p>
      <w:pPr>
        <w:spacing w:line="360" w:lineRule="auto"/>
        <w:ind w:firstLine="2520" w:firstLineChars="1050"/>
        <w:rPr>
          <w:sz w:val="24"/>
          <w:highlight w:val="none"/>
        </w:rPr>
      </w:pPr>
    </w:p>
    <w:p>
      <w:pPr>
        <w:spacing w:line="360" w:lineRule="auto"/>
        <w:ind w:firstLine="2520" w:firstLineChars="1050"/>
        <w:rPr>
          <w:sz w:val="24"/>
          <w:highlight w:val="none"/>
        </w:rPr>
      </w:pPr>
    </w:p>
    <w:p>
      <w:pPr>
        <w:spacing w:line="360" w:lineRule="auto"/>
        <w:ind w:firstLine="2520" w:firstLineChars="1050"/>
        <w:rPr>
          <w:sz w:val="24"/>
          <w:highlight w:val="none"/>
        </w:rPr>
      </w:pPr>
    </w:p>
    <w:p>
      <w:pPr>
        <w:spacing w:line="360" w:lineRule="auto"/>
        <w:ind w:firstLine="2520" w:firstLineChars="1050"/>
        <w:rPr>
          <w:sz w:val="24"/>
          <w:highlight w:val="none"/>
        </w:rPr>
      </w:pPr>
    </w:p>
    <w:p>
      <w:pPr>
        <w:spacing w:line="360" w:lineRule="auto"/>
        <w:ind w:firstLine="2520" w:firstLineChars="1050"/>
        <w:rPr>
          <w:sz w:val="24"/>
          <w:highlight w:val="none"/>
        </w:rPr>
      </w:pPr>
    </w:p>
    <w:p>
      <w:pPr>
        <w:spacing w:line="360" w:lineRule="auto"/>
        <w:ind w:firstLine="1200" w:firstLineChars="500"/>
        <w:rPr>
          <w:sz w:val="24"/>
          <w:highlight w:val="none"/>
        </w:rPr>
      </w:pPr>
      <w:r>
        <w:rPr>
          <w:rFonts w:hint="eastAsia"/>
          <w:sz w:val="24"/>
          <w:highlight w:val="none"/>
        </w:rPr>
        <w:t>合同编号：</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spacing w:line="360" w:lineRule="auto"/>
        <w:ind w:firstLine="1200" w:firstLineChars="500"/>
        <w:rPr>
          <w:sz w:val="24"/>
          <w:highlight w:val="none"/>
          <w:u w:val="single"/>
        </w:rPr>
      </w:pPr>
      <w:r>
        <w:rPr>
          <w:rFonts w:hint="eastAsia"/>
          <w:sz w:val="24"/>
          <w:highlight w:val="none"/>
        </w:rPr>
        <w:t>签约地点：</w:t>
      </w:r>
      <w:r>
        <w:rPr>
          <w:rFonts w:hint="eastAsia"/>
          <w:sz w:val="24"/>
          <w:highlight w:val="none"/>
          <w:u w:val="single"/>
        </w:rPr>
        <w:t xml:space="preserve"> 东莞市</w:t>
      </w:r>
    </w:p>
    <w:p>
      <w:pPr>
        <w:spacing w:line="360" w:lineRule="auto"/>
        <w:rPr>
          <w:sz w:val="24"/>
          <w:highlight w:val="none"/>
        </w:rPr>
      </w:pPr>
      <w:r>
        <w:rPr>
          <w:sz w:val="24"/>
          <w:highlight w:val="none"/>
        </w:rPr>
        <w:br w:type="page"/>
      </w:r>
    </w:p>
    <w:p>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甲方：</w:t>
      </w:r>
      <w:r>
        <w:rPr>
          <w:rFonts w:hint="eastAsia" w:asciiTheme="minorEastAsia" w:hAnsiTheme="minorEastAsia" w:eastAsiaTheme="minorEastAsia"/>
          <w:sz w:val="24"/>
          <w:highlight w:val="none"/>
          <w:u w:val="single"/>
        </w:rPr>
        <w:t>东莞理工学院城市学院</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          </w:t>
      </w:r>
    </w:p>
    <w:p>
      <w:pPr>
        <w:spacing w:line="360" w:lineRule="auto"/>
        <w:rPr>
          <w:sz w:val="24"/>
          <w:highlight w:val="none"/>
        </w:rPr>
      </w:pPr>
      <w:r>
        <w:rPr>
          <w:rFonts w:asciiTheme="minorEastAsia" w:hAnsiTheme="minorEastAsia" w:eastAsiaTheme="minorEastAsia"/>
          <w:sz w:val="24"/>
          <w:highlight w:val="none"/>
        </w:rPr>
        <w:t>乙方：</w:t>
      </w:r>
      <w:r>
        <w:rPr>
          <w:rFonts w:hint="eastAsia" w:asciiTheme="minorEastAsia" w:hAnsiTheme="minorEastAsia" w:eastAsiaTheme="minorEastAsia"/>
          <w:sz w:val="24"/>
          <w:highlight w:val="none"/>
          <w:u w:val="single"/>
          <w:lang w:val="en-US" w:eastAsia="zh-CN"/>
        </w:rPr>
        <w:t xml:space="preserve">                    </w:t>
      </w:r>
      <w:r>
        <w:rPr>
          <w:sz w:val="24"/>
          <w:highlight w:val="none"/>
          <w:u w:val="single"/>
        </w:rPr>
        <w:t xml:space="preserve"> </w:t>
      </w:r>
      <w:r>
        <w:rPr>
          <w:sz w:val="24"/>
          <w:highlight w:val="none"/>
        </w:rPr>
        <w:t xml:space="preserve">  </w:t>
      </w:r>
      <w:r>
        <w:rPr>
          <w:rFonts w:hint="eastAsia"/>
          <w:sz w:val="24"/>
          <w:highlight w:val="none"/>
        </w:rPr>
        <w:t xml:space="preserve">  </w:t>
      </w:r>
      <w:r>
        <w:rPr>
          <w:sz w:val="24"/>
          <w:highlight w:val="none"/>
        </w:rPr>
        <w:t xml:space="preserve">   </w:t>
      </w:r>
    </w:p>
    <w:p>
      <w:pPr>
        <w:tabs>
          <w:tab w:val="left" w:pos="1134"/>
        </w:tabs>
        <w:spacing w:line="560" w:lineRule="exact"/>
        <w:ind w:left="1785" w:leftChars="266" w:hanging="1226" w:hangingChars="511"/>
        <w:rPr>
          <w:sz w:val="24"/>
          <w:highlight w:val="none"/>
        </w:rPr>
      </w:pPr>
      <w:r>
        <w:rPr>
          <w:sz w:val="24"/>
          <w:highlight w:val="none"/>
        </w:rPr>
        <w:t>甲、乙双方根据</w:t>
      </w:r>
      <w:r>
        <w:rPr>
          <w:sz w:val="24"/>
          <w:highlight w:val="none"/>
          <w:u w:val="single"/>
        </w:rPr>
        <w:t>东莞理工学院</w:t>
      </w:r>
      <w:r>
        <w:rPr>
          <w:rFonts w:hint="eastAsia"/>
          <w:sz w:val="24"/>
          <w:highlight w:val="none"/>
          <w:u w:val="single"/>
        </w:rPr>
        <w:t>城市学院</w:t>
      </w:r>
      <w:r>
        <w:rPr>
          <w:sz w:val="24"/>
          <w:highlight w:val="none"/>
          <w:u w:val="single"/>
        </w:rPr>
        <w:t>消防系统维修保养采购项目</w:t>
      </w:r>
    </w:p>
    <w:p>
      <w:pPr>
        <w:tabs>
          <w:tab w:val="left" w:pos="0"/>
        </w:tabs>
        <w:spacing w:line="360" w:lineRule="auto"/>
        <w:ind w:right="-153" w:rightChars="-73" w:firstLine="417" w:firstLineChars="174"/>
        <w:rPr>
          <w:sz w:val="24"/>
          <w:highlight w:val="none"/>
        </w:rPr>
      </w:pPr>
      <w:r>
        <w:rPr>
          <w:sz w:val="24"/>
          <w:highlight w:val="none"/>
        </w:rPr>
        <w:t>（</w:t>
      </w:r>
      <w:r>
        <w:rPr>
          <w:rFonts w:hint="eastAsia"/>
          <w:sz w:val="24"/>
          <w:highlight w:val="none"/>
        </w:rPr>
        <w:t>招标</w:t>
      </w:r>
      <w:r>
        <w:rPr>
          <w:sz w:val="24"/>
          <w:highlight w:val="none"/>
        </w:rPr>
        <w:t>编号：</w:t>
      </w:r>
      <w:r>
        <w:rPr>
          <w:rFonts w:hint="eastAsia"/>
          <w:sz w:val="24"/>
          <w:highlight w:val="none"/>
          <w:u w:val="single"/>
          <w:lang w:val="en-US" w:eastAsia="zh-CN"/>
        </w:rPr>
        <w:t xml:space="preserve">              </w:t>
      </w:r>
      <w:r>
        <w:rPr>
          <w:rFonts w:hint="eastAsia"/>
          <w:sz w:val="24"/>
          <w:highlight w:val="none"/>
        </w:rPr>
        <w:t>号</w:t>
      </w:r>
      <w:r>
        <w:rPr>
          <w:sz w:val="24"/>
          <w:highlight w:val="none"/>
        </w:rPr>
        <w:t>）招标的结果，以及招标文件</w:t>
      </w:r>
      <w:r>
        <w:rPr>
          <w:rFonts w:hint="eastAsia"/>
          <w:sz w:val="24"/>
          <w:highlight w:val="none"/>
        </w:rPr>
        <w:t>、</w:t>
      </w:r>
      <w:r>
        <w:rPr>
          <w:sz w:val="24"/>
          <w:highlight w:val="none"/>
        </w:rPr>
        <w:t>乙方的投标文件及各种书面承诺，并经双方协调一致，签订本合同。</w:t>
      </w:r>
    </w:p>
    <w:p>
      <w:pPr>
        <w:spacing w:line="360" w:lineRule="auto"/>
        <w:ind w:left="540"/>
        <w:rPr>
          <w:sz w:val="24"/>
          <w:highlight w:val="none"/>
          <w:u w:val="single"/>
        </w:rPr>
      </w:pPr>
      <w:r>
        <w:rPr>
          <w:rFonts w:hint="eastAsia"/>
          <w:sz w:val="24"/>
          <w:highlight w:val="none"/>
        </w:rPr>
        <w:t>一、</w:t>
      </w:r>
      <w:r>
        <w:rPr>
          <w:sz w:val="24"/>
          <w:highlight w:val="none"/>
        </w:rPr>
        <w:t>项目名称：</w:t>
      </w:r>
      <w:r>
        <w:rPr>
          <w:sz w:val="24"/>
          <w:highlight w:val="none"/>
          <w:u w:val="single"/>
        </w:rPr>
        <w:t>东莞理工学院</w:t>
      </w:r>
      <w:r>
        <w:rPr>
          <w:rFonts w:hint="eastAsia"/>
          <w:sz w:val="24"/>
          <w:highlight w:val="none"/>
          <w:u w:val="single"/>
        </w:rPr>
        <w:t>城市学院</w:t>
      </w:r>
      <w:r>
        <w:rPr>
          <w:sz w:val="24"/>
          <w:highlight w:val="none"/>
          <w:u w:val="single"/>
        </w:rPr>
        <w:t>消防系统维修保养采购项目</w:t>
      </w:r>
      <w:r>
        <w:rPr>
          <w:sz w:val="24"/>
          <w:highlight w:val="none"/>
        </w:rPr>
        <w:t>。</w:t>
      </w:r>
    </w:p>
    <w:p>
      <w:pPr>
        <w:spacing w:line="360" w:lineRule="auto"/>
        <w:ind w:left="540"/>
        <w:rPr>
          <w:sz w:val="24"/>
          <w:highlight w:val="none"/>
          <w:u w:val="single"/>
        </w:rPr>
      </w:pPr>
      <w:r>
        <w:rPr>
          <w:rFonts w:hint="eastAsia"/>
          <w:sz w:val="24"/>
          <w:highlight w:val="none"/>
        </w:rPr>
        <w:t>二、</w:t>
      </w:r>
      <w:r>
        <w:rPr>
          <w:sz w:val="24"/>
          <w:highlight w:val="none"/>
        </w:rPr>
        <w:t>招标</w:t>
      </w:r>
      <w:r>
        <w:rPr>
          <w:rFonts w:hint="eastAsia"/>
          <w:sz w:val="24"/>
          <w:highlight w:val="none"/>
        </w:rPr>
        <w:t>范围</w:t>
      </w:r>
    </w:p>
    <w:tbl>
      <w:tblPr>
        <w:tblStyle w:val="8"/>
        <w:tblW w:w="8163" w:type="dxa"/>
        <w:jc w:val="center"/>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868"/>
        <w:gridCol w:w="3226"/>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52" w:type="dxa"/>
            <w:vAlign w:val="center"/>
          </w:tcPr>
          <w:p>
            <w:pPr>
              <w:jc w:val="center"/>
              <w:rPr>
                <w:sz w:val="24"/>
                <w:highlight w:val="none"/>
              </w:rPr>
            </w:pPr>
            <w:r>
              <w:rPr>
                <w:rFonts w:hint="eastAsia"/>
                <w:sz w:val="24"/>
                <w:highlight w:val="none"/>
              </w:rPr>
              <w:t>序</w:t>
            </w:r>
            <w:r>
              <w:rPr>
                <w:sz w:val="24"/>
                <w:highlight w:val="none"/>
              </w:rPr>
              <w:t>号</w:t>
            </w:r>
          </w:p>
        </w:tc>
        <w:tc>
          <w:tcPr>
            <w:tcW w:w="1868" w:type="dxa"/>
            <w:vAlign w:val="center"/>
          </w:tcPr>
          <w:p>
            <w:pPr>
              <w:jc w:val="center"/>
              <w:rPr>
                <w:sz w:val="24"/>
                <w:highlight w:val="none"/>
              </w:rPr>
            </w:pPr>
            <w:r>
              <w:rPr>
                <w:sz w:val="24"/>
                <w:highlight w:val="none"/>
              </w:rPr>
              <w:t>项目内容</w:t>
            </w:r>
          </w:p>
        </w:tc>
        <w:tc>
          <w:tcPr>
            <w:tcW w:w="3226" w:type="dxa"/>
            <w:vAlign w:val="center"/>
          </w:tcPr>
          <w:p>
            <w:pPr>
              <w:jc w:val="center"/>
              <w:rPr>
                <w:sz w:val="24"/>
                <w:highlight w:val="none"/>
              </w:rPr>
            </w:pPr>
            <w:r>
              <w:rPr>
                <w:sz w:val="24"/>
                <w:highlight w:val="none"/>
              </w:rPr>
              <w:t>项目要求</w:t>
            </w:r>
          </w:p>
        </w:tc>
        <w:tc>
          <w:tcPr>
            <w:tcW w:w="2317" w:type="dxa"/>
            <w:vAlign w:val="center"/>
          </w:tcPr>
          <w:p>
            <w:pPr>
              <w:jc w:val="center"/>
              <w:rPr>
                <w:sz w:val="24"/>
                <w:highlight w:val="none"/>
              </w:rPr>
            </w:pPr>
            <w:r>
              <w:rPr>
                <w:sz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52" w:type="dxa"/>
            <w:vAlign w:val="center"/>
          </w:tcPr>
          <w:p>
            <w:pPr>
              <w:jc w:val="center"/>
              <w:rPr>
                <w:sz w:val="24"/>
                <w:highlight w:val="none"/>
              </w:rPr>
            </w:pPr>
            <w:r>
              <w:rPr>
                <w:rFonts w:hint="eastAsia"/>
                <w:sz w:val="24"/>
                <w:highlight w:val="none"/>
              </w:rPr>
              <w:t>三</w:t>
            </w:r>
          </w:p>
        </w:tc>
        <w:tc>
          <w:tcPr>
            <w:tcW w:w="1868" w:type="dxa"/>
            <w:vAlign w:val="center"/>
          </w:tcPr>
          <w:p>
            <w:pPr>
              <w:jc w:val="center"/>
              <w:rPr>
                <w:sz w:val="24"/>
                <w:highlight w:val="none"/>
              </w:rPr>
            </w:pPr>
            <w:r>
              <w:rPr>
                <w:sz w:val="24"/>
                <w:highlight w:val="none"/>
              </w:rPr>
              <w:t>消防维修保养</w:t>
            </w:r>
            <w:r>
              <w:rPr>
                <w:rFonts w:hint="eastAsia"/>
                <w:sz w:val="24"/>
                <w:highlight w:val="none"/>
              </w:rPr>
              <w:t xml:space="preserve"> </w:t>
            </w:r>
          </w:p>
        </w:tc>
        <w:tc>
          <w:tcPr>
            <w:tcW w:w="3226" w:type="dxa"/>
            <w:vAlign w:val="center"/>
          </w:tcPr>
          <w:p>
            <w:pPr>
              <w:rPr>
                <w:sz w:val="24"/>
                <w:highlight w:val="none"/>
              </w:rPr>
            </w:pPr>
            <w:r>
              <w:rPr>
                <w:sz w:val="24"/>
                <w:highlight w:val="none"/>
              </w:rPr>
              <w:t>请参阅</w:t>
            </w:r>
            <w:r>
              <w:rPr>
                <w:rFonts w:hint="eastAsia"/>
                <w:sz w:val="24"/>
                <w:highlight w:val="none"/>
              </w:rPr>
              <w:t>招标文件</w:t>
            </w:r>
            <w:r>
              <w:rPr>
                <w:highlight w:val="none"/>
              </w:rPr>
              <w:fldChar w:fldCharType="begin"/>
            </w:r>
            <w:r>
              <w:rPr>
                <w:highlight w:val="none"/>
              </w:rPr>
              <w:instrText xml:space="preserve"> HYPERLINK \l "_第四章__用户需求书" </w:instrText>
            </w:r>
            <w:r>
              <w:rPr>
                <w:highlight w:val="none"/>
              </w:rPr>
              <w:fldChar w:fldCharType="separate"/>
            </w:r>
            <w:r>
              <w:rPr>
                <w:sz w:val="24"/>
                <w:highlight w:val="none"/>
              </w:rPr>
              <w:t>第</w:t>
            </w:r>
            <w:r>
              <w:rPr>
                <w:rFonts w:hint="eastAsia"/>
                <w:sz w:val="24"/>
                <w:highlight w:val="none"/>
              </w:rPr>
              <w:t>三项</w:t>
            </w:r>
            <w:r>
              <w:rPr>
                <w:sz w:val="24"/>
                <w:highlight w:val="none"/>
              </w:rPr>
              <w:t>《</w:t>
            </w:r>
            <w:r>
              <w:rPr>
                <w:rFonts w:hint="eastAsia"/>
                <w:sz w:val="24"/>
                <w:highlight w:val="none"/>
              </w:rPr>
              <w:t>工程内容及要求</w:t>
            </w:r>
            <w:r>
              <w:rPr>
                <w:sz w:val="24"/>
                <w:highlight w:val="none"/>
              </w:rPr>
              <w:t>》</w:t>
            </w:r>
            <w:r>
              <w:rPr>
                <w:sz w:val="24"/>
                <w:highlight w:val="none"/>
              </w:rPr>
              <w:fldChar w:fldCharType="end"/>
            </w:r>
            <w:r>
              <w:rPr>
                <w:sz w:val="24"/>
                <w:highlight w:val="none"/>
              </w:rPr>
              <w:t>。</w:t>
            </w:r>
          </w:p>
        </w:tc>
        <w:tc>
          <w:tcPr>
            <w:tcW w:w="2317" w:type="dxa"/>
            <w:vAlign w:val="center"/>
          </w:tcPr>
          <w:p>
            <w:pPr>
              <w:jc w:val="center"/>
              <w:rPr>
                <w:sz w:val="24"/>
                <w:highlight w:val="none"/>
              </w:rPr>
            </w:pPr>
          </w:p>
        </w:tc>
      </w:tr>
    </w:tbl>
    <w:p>
      <w:pPr>
        <w:spacing w:line="360" w:lineRule="auto"/>
        <w:ind w:left="540"/>
        <w:rPr>
          <w:sz w:val="24"/>
          <w:highlight w:val="none"/>
        </w:rPr>
      </w:pPr>
      <w:r>
        <w:rPr>
          <w:rFonts w:hint="eastAsia"/>
          <w:sz w:val="24"/>
          <w:highlight w:val="none"/>
        </w:rPr>
        <w:t>三、</w:t>
      </w:r>
      <w:r>
        <w:rPr>
          <w:sz w:val="24"/>
          <w:highlight w:val="none"/>
        </w:rPr>
        <w:t>项目保养范围</w:t>
      </w:r>
      <w:r>
        <w:rPr>
          <w:rFonts w:hint="eastAsia"/>
          <w:sz w:val="24"/>
          <w:highlight w:val="none"/>
        </w:rPr>
        <w:t>、内容及要求</w:t>
      </w:r>
      <w:r>
        <w:rPr>
          <w:sz w:val="24"/>
          <w:highlight w:val="none"/>
        </w:rPr>
        <w:t>：</w:t>
      </w:r>
    </w:p>
    <w:p>
      <w:pPr>
        <w:spacing w:line="360" w:lineRule="auto"/>
        <w:ind w:left="840"/>
        <w:rPr>
          <w:sz w:val="24"/>
          <w:highlight w:val="none"/>
        </w:rPr>
      </w:pPr>
      <w:r>
        <w:rPr>
          <w:rFonts w:hint="eastAsia"/>
          <w:sz w:val="24"/>
          <w:highlight w:val="none"/>
        </w:rPr>
        <w:t>1、火灾自动报警系统</w:t>
      </w:r>
    </w:p>
    <w:p>
      <w:pPr>
        <w:spacing w:line="360" w:lineRule="auto"/>
        <w:ind w:left="840"/>
        <w:rPr>
          <w:sz w:val="24"/>
          <w:highlight w:val="none"/>
        </w:rPr>
      </w:pPr>
      <w:r>
        <w:rPr>
          <w:rFonts w:hint="eastAsia"/>
          <w:sz w:val="24"/>
          <w:highlight w:val="none"/>
        </w:rPr>
        <w:t>2、消火栓系统</w:t>
      </w:r>
    </w:p>
    <w:p>
      <w:pPr>
        <w:spacing w:line="360" w:lineRule="auto"/>
        <w:ind w:left="840"/>
        <w:rPr>
          <w:sz w:val="24"/>
          <w:highlight w:val="none"/>
        </w:rPr>
      </w:pPr>
      <w:r>
        <w:rPr>
          <w:rFonts w:hint="eastAsia"/>
          <w:sz w:val="24"/>
          <w:highlight w:val="none"/>
        </w:rPr>
        <w:t>3、自动喷淋系统</w:t>
      </w:r>
    </w:p>
    <w:p>
      <w:pPr>
        <w:tabs>
          <w:tab w:val="left" w:pos="420"/>
          <w:tab w:val="left" w:pos="1680"/>
        </w:tabs>
        <w:spacing w:line="300" w:lineRule="auto"/>
        <w:ind w:firstLine="840" w:firstLineChars="350"/>
        <w:rPr>
          <w:sz w:val="24"/>
          <w:highlight w:val="none"/>
        </w:rPr>
      </w:pPr>
      <w:r>
        <w:rPr>
          <w:rFonts w:hint="eastAsia"/>
          <w:sz w:val="24"/>
          <w:highlight w:val="none"/>
        </w:rPr>
        <w:t>4、消防广播及消防电话系统</w:t>
      </w:r>
    </w:p>
    <w:p>
      <w:pPr>
        <w:tabs>
          <w:tab w:val="left" w:pos="420"/>
          <w:tab w:val="left" w:pos="1680"/>
        </w:tabs>
        <w:spacing w:line="300" w:lineRule="auto"/>
        <w:ind w:firstLine="840" w:firstLineChars="350"/>
        <w:rPr>
          <w:sz w:val="24"/>
          <w:highlight w:val="none"/>
        </w:rPr>
      </w:pPr>
      <w:r>
        <w:rPr>
          <w:rFonts w:hint="eastAsia"/>
          <w:sz w:val="24"/>
          <w:highlight w:val="none"/>
        </w:rPr>
        <w:t>5、防排烟及通风系统</w:t>
      </w:r>
    </w:p>
    <w:p>
      <w:pPr>
        <w:spacing w:line="360" w:lineRule="auto"/>
        <w:ind w:left="840"/>
        <w:rPr>
          <w:sz w:val="24"/>
          <w:highlight w:val="none"/>
        </w:rPr>
      </w:pPr>
      <w:r>
        <w:rPr>
          <w:rFonts w:hint="eastAsia"/>
          <w:sz w:val="24"/>
          <w:highlight w:val="none"/>
        </w:rPr>
        <w:t>6、防火卷帘门</w:t>
      </w:r>
    </w:p>
    <w:p>
      <w:pPr>
        <w:spacing w:line="360" w:lineRule="auto"/>
        <w:ind w:left="840"/>
        <w:rPr>
          <w:sz w:val="24"/>
          <w:highlight w:val="none"/>
        </w:rPr>
      </w:pPr>
      <w:r>
        <w:rPr>
          <w:rFonts w:hint="eastAsia"/>
          <w:sz w:val="24"/>
          <w:highlight w:val="none"/>
        </w:rPr>
        <w:t>7、其它消防有关事项</w:t>
      </w:r>
    </w:p>
    <w:p>
      <w:pPr>
        <w:tabs>
          <w:tab w:val="left" w:pos="0"/>
        </w:tabs>
        <w:spacing w:line="360" w:lineRule="auto"/>
        <w:ind w:right="-153" w:rightChars="-73" w:firstLine="537" w:firstLineChars="224"/>
        <w:rPr>
          <w:sz w:val="24"/>
          <w:highlight w:val="none"/>
        </w:rPr>
      </w:pPr>
      <w:r>
        <w:rPr>
          <w:rFonts w:hint="eastAsia"/>
          <w:sz w:val="24"/>
          <w:highlight w:val="none"/>
        </w:rPr>
        <w:t>如有未列入到以上保养范围之内，但实际上属于消防系统内容的，属于本合同约定保养范围（本次招标的范围）。</w:t>
      </w:r>
      <w:r>
        <w:rPr>
          <w:sz w:val="24"/>
          <w:highlight w:val="none"/>
        </w:rPr>
        <w:t>甲方</w:t>
      </w:r>
      <w:r>
        <w:rPr>
          <w:rFonts w:hint="eastAsia"/>
          <w:sz w:val="24"/>
          <w:highlight w:val="none"/>
        </w:rPr>
        <w:t>在合同期内新增消防设备需求维护保养的，</w:t>
      </w:r>
      <w:r>
        <w:rPr>
          <w:sz w:val="24"/>
          <w:highlight w:val="none"/>
        </w:rPr>
        <w:t>甲乙</w:t>
      </w:r>
      <w:r>
        <w:rPr>
          <w:rFonts w:hint="eastAsia"/>
          <w:sz w:val="24"/>
          <w:highlight w:val="none"/>
        </w:rPr>
        <w:t>双方另行协商解决。</w:t>
      </w:r>
    </w:p>
    <w:p>
      <w:pPr>
        <w:spacing w:line="360" w:lineRule="auto"/>
        <w:ind w:left="540"/>
        <w:rPr>
          <w:sz w:val="24"/>
          <w:highlight w:val="none"/>
        </w:rPr>
      </w:pPr>
      <w:r>
        <w:rPr>
          <w:rFonts w:hint="eastAsia"/>
          <w:sz w:val="24"/>
          <w:highlight w:val="none"/>
        </w:rPr>
        <w:t>四、服务内容和标准</w:t>
      </w:r>
    </w:p>
    <w:p>
      <w:pPr>
        <w:tabs>
          <w:tab w:val="left" w:pos="0"/>
        </w:tabs>
        <w:spacing w:line="360" w:lineRule="auto"/>
        <w:ind w:right="-153" w:rightChars="-73" w:firstLine="417" w:firstLineChars="174"/>
        <w:rPr>
          <w:sz w:val="24"/>
          <w:highlight w:val="none"/>
        </w:rPr>
      </w:pPr>
      <w:r>
        <w:rPr>
          <w:rFonts w:hint="eastAsia"/>
          <w:sz w:val="24"/>
          <w:highlight w:val="none"/>
        </w:rPr>
        <w:t>1、检查性维护保养：基于设备运行情况和客户需求，有计划地进行各类常规检查，及时排查存在问题，就系统设备的问题提供专业的意见及改进方案。</w:t>
      </w:r>
    </w:p>
    <w:p>
      <w:pPr>
        <w:tabs>
          <w:tab w:val="left" w:pos="0"/>
        </w:tabs>
        <w:spacing w:line="360" w:lineRule="auto"/>
        <w:ind w:right="-153" w:rightChars="-73" w:firstLine="417" w:firstLineChars="174"/>
        <w:rPr>
          <w:sz w:val="24"/>
          <w:highlight w:val="none"/>
        </w:rPr>
      </w:pPr>
      <w:r>
        <w:rPr>
          <w:rFonts w:hint="eastAsia"/>
          <w:sz w:val="24"/>
          <w:highlight w:val="none"/>
        </w:rPr>
        <w:t>2、预防性维护保养：按照设备性能进行必要的预防性维护保养，包括定期清洁烟感、温感及其它预防性维护保养服务；项目结束前至少对系统进行两次全面测试维护。</w:t>
      </w:r>
    </w:p>
    <w:p>
      <w:pPr>
        <w:tabs>
          <w:tab w:val="left" w:pos="0"/>
        </w:tabs>
        <w:spacing w:line="360" w:lineRule="auto"/>
        <w:ind w:right="-153" w:rightChars="-73" w:firstLine="417" w:firstLineChars="174"/>
        <w:rPr>
          <w:sz w:val="24"/>
          <w:highlight w:val="none"/>
        </w:rPr>
      </w:pPr>
      <w:r>
        <w:rPr>
          <w:rFonts w:hint="eastAsia"/>
          <w:sz w:val="24"/>
          <w:highlight w:val="none"/>
        </w:rPr>
        <w:t>3、故障设备的维修与部件更换：包括各类故障的快速检测、紧急故障处理、对故障设备的全部维修工作和零部件更换。</w:t>
      </w:r>
    </w:p>
    <w:p>
      <w:pPr>
        <w:tabs>
          <w:tab w:val="left" w:pos="0"/>
        </w:tabs>
        <w:spacing w:line="360" w:lineRule="auto"/>
        <w:ind w:right="-153" w:rightChars="-73" w:firstLine="417" w:firstLineChars="174"/>
        <w:rPr>
          <w:sz w:val="24"/>
          <w:highlight w:val="none"/>
        </w:rPr>
      </w:pPr>
      <w:r>
        <w:rPr>
          <w:rFonts w:hint="eastAsia"/>
          <w:sz w:val="24"/>
          <w:highlight w:val="none"/>
        </w:rPr>
        <w:t>4、培训服务：为甲方操作管理人员讲解涉及机组管理、维护保养的实用技术，指导甲方操作管理人员正确管理系统设备。</w:t>
      </w:r>
    </w:p>
    <w:p>
      <w:pPr>
        <w:tabs>
          <w:tab w:val="left" w:pos="0"/>
        </w:tabs>
        <w:spacing w:line="360" w:lineRule="auto"/>
        <w:ind w:right="-153" w:rightChars="-73" w:firstLine="417" w:firstLineChars="174"/>
        <w:rPr>
          <w:sz w:val="24"/>
          <w:highlight w:val="none"/>
        </w:rPr>
      </w:pPr>
      <w:r>
        <w:rPr>
          <w:rFonts w:hint="eastAsia"/>
          <w:sz w:val="24"/>
          <w:highlight w:val="none"/>
        </w:rPr>
        <w:t>5、按招标文件的规定和投标文件中的服务方案中的具体承诺。</w:t>
      </w:r>
    </w:p>
    <w:p>
      <w:pPr>
        <w:spacing w:line="360" w:lineRule="auto"/>
        <w:ind w:firstLine="480" w:firstLineChars="200"/>
        <w:rPr>
          <w:sz w:val="24"/>
          <w:highlight w:val="none"/>
        </w:rPr>
      </w:pPr>
      <w:r>
        <w:rPr>
          <w:rFonts w:hint="eastAsia"/>
          <w:sz w:val="24"/>
          <w:highlight w:val="none"/>
        </w:rPr>
        <w:t>五、维修保养要求</w:t>
      </w:r>
    </w:p>
    <w:p>
      <w:pPr>
        <w:spacing w:line="360" w:lineRule="auto"/>
        <w:ind w:firstLine="480" w:firstLineChars="200"/>
        <w:rPr>
          <w:sz w:val="24"/>
          <w:highlight w:val="none"/>
        </w:rPr>
      </w:pPr>
      <w:r>
        <w:rPr>
          <w:rFonts w:hint="eastAsia"/>
          <w:sz w:val="24"/>
          <w:highlight w:val="none"/>
        </w:rPr>
        <w:t>1、设备的日常检测及预防性维护必须定期进行，专人负责。</w:t>
      </w:r>
    </w:p>
    <w:p>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乙方</w:t>
      </w:r>
      <w:r>
        <w:rPr>
          <w:rFonts w:hint="eastAsia"/>
          <w:color w:val="auto"/>
          <w:sz w:val="24"/>
          <w:highlight w:val="none"/>
        </w:rPr>
        <w:t>在接到甲方设备故障通知后，须在1小时内到达现场，单件设备配件价格在100元以内的</w:t>
      </w:r>
      <w:r>
        <w:rPr>
          <w:color w:val="auto"/>
          <w:sz w:val="24"/>
          <w:highlight w:val="none"/>
        </w:rPr>
        <w:t>问题在24小时之内解决</w:t>
      </w:r>
      <w:r>
        <w:rPr>
          <w:rFonts w:hint="eastAsia"/>
          <w:color w:val="auto"/>
          <w:sz w:val="24"/>
          <w:highlight w:val="none"/>
        </w:rPr>
        <w:t>；单件设备配件价格在100元以上的需及时提出解决方案并在甲方采购的设备配件到位后24小时内解决问题，</w:t>
      </w:r>
      <w:r>
        <w:rPr>
          <w:color w:val="auto"/>
          <w:sz w:val="24"/>
          <w:highlight w:val="none"/>
        </w:rPr>
        <w:t>没解决</w:t>
      </w:r>
      <w:r>
        <w:rPr>
          <w:rFonts w:hint="eastAsia"/>
          <w:color w:val="auto"/>
          <w:sz w:val="24"/>
          <w:highlight w:val="none"/>
        </w:rPr>
        <w:t>的</w:t>
      </w:r>
      <w:r>
        <w:rPr>
          <w:color w:val="auto"/>
          <w:sz w:val="24"/>
          <w:highlight w:val="none"/>
        </w:rPr>
        <w:t>则按付款细则打分。</w:t>
      </w:r>
      <w:r>
        <w:rPr>
          <w:b/>
          <w:bCs/>
          <w:color w:val="auto"/>
          <w:sz w:val="24"/>
          <w:highlight w:val="none"/>
        </w:rPr>
        <w:t>（灭火器除外）</w:t>
      </w:r>
    </w:p>
    <w:p>
      <w:pPr>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乙方</w:t>
      </w:r>
      <w:r>
        <w:rPr>
          <w:rFonts w:hint="eastAsia"/>
          <w:color w:val="auto"/>
          <w:sz w:val="24"/>
          <w:highlight w:val="none"/>
        </w:rPr>
        <w:t>必须就每项保养内容制定详细的保养计划、维修保养标准、明确的维护保养时间安排，并严格实施保养计划，同时要如实记录、保存维护保养情况，以便甲方查阅。</w:t>
      </w:r>
    </w:p>
    <w:p>
      <w:pPr>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乙方</w:t>
      </w:r>
      <w:r>
        <w:rPr>
          <w:rFonts w:hint="eastAsia"/>
          <w:color w:val="auto"/>
          <w:sz w:val="24"/>
          <w:highlight w:val="none"/>
        </w:rPr>
        <w:t>必须每月向甲方提交设备维护保养情况、系统运行状况的书面报告。</w:t>
      </w:r>
    </w:p>
    <w:p>
      <w:pPr>
        <w:tabs>
          <w:tab w:val="left" w:pos="1080"/>
          <w:tab w:val="left" w:pos="1695"/>
        </w:tabs>
        <w:spacing w:line="360" w:lineRule="auto"/>
        <w:ind w:firstLine="480" w:firstLineChars="200"/>
        <w:rPr>
          <w:sz w:val="24"/>
          <w:highlight w:val="none"/>
        </w:rPr>
      </w:pPr>
      <w:r>
        <w:rPr>
          <w:rFonts w:hint="eastAsia" w:ascii="宋体" w:hAnsi="宋体"/>
          <w:color w:val="auto"/>
          <w:sz w:val="24"/>
          <w:highlight w:val="none"/>
        </w:rPr>
        <w:t>5、乙方在完成每个季度保养后，</w:t>
      </w:r>
      <w:r>
        <w:rPr>
          <w:rFonts w:hint="eastAsia"/>
          <w:color w:val="auto"/>
          <w:sz w:val="24"/>
          <w:highlight w:val="none"/>
        </w:rPr>
        <w:t>应及时向甲方后勤保卫处提交全部保养资料，经相关部门确认合格后支付保养费用。（注</w:t>
      </w:r>
      <w:r>
        <w:rPr>
          <w:color w:val="auto"/>
          <w:sz w:val="24"/>
          <w:highlight w:val="none"/>
        </w:rPr>
        <w:t>乙方</w:t>
      </w:r>
      <w:r>
        <w:rPr>
          <w:rFonts w:hint="eastAsia"/>
          <w:color w:val="auto"/>
          <w:sz w:val="24"/>
          <w:highlight w:val="none"/>
        </w:rPr>
        <w:t>应提供维保记录资料，所更换的旧件及照片等资料备查，如不提供或提供不实，将扣减该部分项目内容的费</w:t>
      </w:r>
      <w:r>
        <w:rPr>
          <w:rFonts w:hint="eastAsia"/>
          <w:sz w:val="24"/>
          <w:highlight w:val="none"/>
        </w:rPr>
        <w:t>用并保留追究责任的权利）</w:t>
      </w:r>
    </w:p>
    <w:p>
      <w:pPr>
        <w:spacing w:line="360" w:lineRule="auto"/>
        <w:ind w:firstLine="480" w:firstLineChars="200"/>
        <w:rPr>
          <w:sz w:val="24"/>
          <w:highlight w:val="none"/>
        </w:rPr>
      </w:pPr>
      <w:r>
        <w:rPr>
          <w:rFonts w:hint="eastAsia"/>
          <w:sz w:val="24"/>
          <w:highlight w:val="none"/>
        </w:rPr>
        <w:t>6、更换配件须保留原来旧件及提供照片。</w:t>
      </w:r>
    </w:p>
    <w:p>
      <w:pPr>
        <w:spacing w:line="360" w:lineRule="auto"/>
        <w:ind w:firstLine="480" w:firstLineChars="200"/>
        <w:rPr>
          <w:sz w:val="24"/>
          <w:highlight w:val="none"/>
        </w:rPr>
      </w:pPr>
      <w:r>
        <w:rPr>
          <w:rFonts w:hint="eastAsia"/>
          <w:sz w:val="24"/>
          <w:highlight w:val="none"/>
        </w:rPr>
        <w:t>7、每月对</w:t>
      </w:r>
      <w:r>
        <w:rPr>
          <w:sz w:val="24"/>
          <w:highlight w:val="none"/>
        </w:rPr>
        <w:t>火灾自动报警系统，消火栓系统</w:t>
      </w:r>
      <w:r>
        <w:rPr>
          <w:rFonts w:hint="eastAsia"/>
          <w:sz w:val="24"/>
          <w:highlight w:val="none"/>
        </w:rPr>
        <w:t>，</w:t>
      </w:r>
      <w:r>
        <w:rPr>
          <w:sz w:val="24"/>
          <w:highlight w:val="none"/>
        </w:rPr>
        <w:t>自动喷水灭火系统</w:t>
      </w:r>
      <w:r>
        <w:rPr>
          <w:rFonts w:hint="eastAsia"/>
          <w:sz w:val="24"/>
          <w:highlight w:val="none"/>
        </w:rPr>
        <w:t>及其相关的</w:t>
      </w:r>
      <w:r>
        <w:rPr>
          <w:sz w:val="24"/>
          <w:highlight w:val="none"/>
        </w:rPr>
        <w:t>设施设备进行检测、保养</w:t>
      </w:r>
      <w:r>
        <w:rPr>
          <w:rFonts w:hint="eastAsia"/>
          <w:sz w:val="24"/>
          <w:highlight w:val="none"/>
        </w:rPr>
        <w:t>（含相关系统的管网油漆）</w:t>
      </w:r>
      <w:r>
        <w:rPr>
          <w:sz w:val="24"/>
          <w:highlight w:val="none"/>
        </w:rPr>
        <w:t>、维修、更换，保障设施设备正常使用。</w:t>
      </w:r>
    </w:p>
    <w:p>
      <w:pPr>
        <w:spacing w:line="360" w:lineRule="auto"/>
        <w:ind w:firstLine="480" w:firstLineChars="200"/>
        <w:rPr>
          <w:sz w:val="24"/>
          <w:highlight w:val="none"/>
        </w:rPr>
      </w:pPr>
      <w:r>
        <w:rPr>
          <w:rFonts w:hint="eastAsia"/>
          <w:sz w:val="24"/>
          <w:highlight w:val="none"/>
        </w:rPr>
        <w:t>8、</w:t>
      </w:r>
      <w:r>
        <w:rPr>
          <w:sz w:val="24"/>
          <w:highlight w:val="none"/>
        </w:rPr>
        <w:t>拟定详尽的维修保养方案，每月提供一份维修保养记录。</w:t>
      </w:r>
    </w:p>
    <w:p>
      <w:pPr>
        <w:spacing w:line="360" w:lineRule="auto"/>
        <w:ind w:firstLine="480" w:firstLineChars="200"/>
        <w:rPr>
          <w:sz w:val="24"/>
          <w:highlight w:val="none"/>
        </w:rPr>
      </w:pPr>
      <w:r>
        <w:rPr>
          <w:rFonts w:hint="eastAsia"/>
          <w:sz w:val="24"/>
          <w:highlight w:val="none"/>
        </w:rPr>
        <w:t>9、</w:t>
      </w:r>
      <w:r>
        <w:rPr>
          <w:sz w:val="24"/>
          <w:highlight w:val="none"/>
        </w:rPr>
        <w:t>参加学校开展的各项消防工作。</w:t>
      </w:r>
    </w:p>
    <w:p>
      <w:pPr>
        <w:spacing w:line="360" w:lineRule="auto"/>
        <w:ind w:firstLine="480" w:firstLineChars="200"/>
        <w:rPr>
          <w:sz w:val="24"/>
          <w:highlight w:val="none"/>
        </w:rPr>
      </w:pPr>
      <w:r>
        <w:rPr>
          <w:rFonts w:hint="eastAsia"/>
          <w:sz w:val="24"/>
          <w:highlight w:val="none"/>
        </w:rPr>
        <w:t>10、</w:t>
      </w:r>
      <w:r>
        <w:rPr>
          <w:sz w:val="24"/>
          <w:highlight w:val="none"/>
        </w:rPr>
        <w:t>完成学校交办的其他任务。</w:t>
      </w:r>
    </w:p>
    <w:p>
      <w:pPr>
        <w:spacing w:line="360" w:lineRule="auto"/>
        <w:ind w:firstLine="480" w:firstLineChars="200"/>
        <w:rPr>
          <w:sz w:val="24"/>
          <w:highlight w:val="none"/>
        </w:rPr>
      </w:pPr>
      <w:r>
        <w:rPr>
          <w:rFonts w:hint="eastAsia"/>
          <w:sz w:val="24"/>
          <w:highlight w:val="none"/>
        </w:rPr>
        <w:t>11、</w:t>
      </w:r>
      <w:r>
        <w:rPr>
          <w:sz w:val="24"/>
          <w:highlight w:val="none"/>
        </w:rPr>
        <w:t>维修保养期限</w:t>
      </w:r>
      <w:r>
        <w:rPr>
          <w:rFonts w:hint="eastAsia"/>
          <w:sz w:val="24"/>
          <w:highlight w:val="none"/>
        </w:rPr>
        <w:t>为壹年</w:t>
      </w:r>
      <w:r>
        <w:rPr>
          <w:sz w:val="24"/>
          <w:highlight w:val="none"/>
        </w:rPr>
        <w:t>。维修保养期限内，</w:t>
      </w:r>
      <w:r>
        <w:rPr>
          <w:rFonts w:hint="eastAsia"/>
          <w:sz w:val="24"/>
          <w:highlight w:val="none"/>
        </w:rPr>
        <w:t>所有消防设施设备出现故障，有修复价值的，由中标公司提供免费修复服务。没有修复价值，需要更换的，由乙方提供清单并负责所有人工费用，甲方审核后，组织采购单件市场标准价在100元以上的设备或配件（按甲方内部采购办法执行），相应费用由甲方负责；单件市场标准价在100元（包括100元，灭火器除外）以下的设备或配件则由乙方负责采购并承担相应的材料费用；乙方负责失效设备的拆除和正常设备的替换及调试等安装工程范畴内系统维修。</w:t>
      </w:r>
    </w:p>
    <w:p>
      <w:pPr>
        <w:spacing w:line="360" w:lineRule="auto"/>
        <w:ind w:firstLine="480" w:firstLineChars="200"/>
        <w:rPr>
          <w:sz w:val="24"/>
          <w:highlight w:val="none"/>
        </w:rPr>
      </w:pPr>
      <w:r>
        <w:rPr>
          <w:rFonts w:hint="eastAsia"/>
          <w:sz w:val="24"/>
          <w:highlight w:val="none"/>
        </w:rPr>
        <w:t>12、乙方收到中标通知书后，做好首次的设施设备排查，提供需要更换的清单，由甲方负责采购，乙方负责安装更换所有人工，首次更换设备不在100元的限额之内。</w:t>
      </w:r>
    </w:p>
    <w:p>
      <w:pPr>
        <w:spacing w:line="360" w:lineRule="auto"/>
        <w:ind w:firstLine="480" w:firstLineChars="200"/>
        <w:rPr>
          <w:sz w:val="24"/>
          <w:highlight w:val="none"/>
        </w:rPr>
      </w:pPr>
      <w:r>
        <w:rPr>
          <w:rFonts w:hint="eastAsia"/>
          <w:sz w:val="24"/>
          <w:highlight w:val="none"/>
        </w:rPr>
        <w:t>13、</w:t>
      </w:r>
      <w:r>
        <w:rPr>
          <w:sz w:val="24"/>
          <w:highlight w:val="none"/>
        </w:rPr>
        <w:t>乙方至少安排</w:t>
      </w:r>
      <w:r>
        <w:rPr>
          <w:rFonts w:hint="eastAsia"/>
          <w:sz w:val="24"/>
          <w:highlight w:val="none"/>
          <w:u w:val="single"/>
        </w:rPr>
        <w:t xml:space="preserve"> </w:t>
      </w:r>
      <w:r>
        <w:rPr>
          <w:rFonts w:hint="eastAsia"/>
          <w:sz w:val="24"/>
          <w:highlight w:val="none"/>
          <w:u w:val="single"/>
          <w:lang w:val="en-US" w:eastAsia="zh-CN"/>
        </w:rPr>
        <w:t xml:space="preserve"> 1</w:t>
      </w:r>
      <w:r>
        <w:rPr>
          <w:rFonts w:hint="eastAsia"/>
          <w:sz w:val="24"/>
          <w:highlight w:val="none"/>
          <w:u w:val="single"/>
        </w:rPr>
        <w:t xml:space="preserve"> </w:t>
      </w:r>
      <w:r>
        <w:rPr>
          <w:sz w:val="24"/>
          <w:highlight w:val="none"/>
        </w:rPr>
        <w:t>名获得</w:t>
      </w:r>
      <w:r>
        <w:rPr>
          <w:rFonts w:hint="eastAsia"/>
          <w:sz w:val="24"/>
          <w:highlight w:val="none"/>
          <w:u w:val="single"/>
          <w:lang w:val="en-US" w:eastAsia="zh-CN"/>
        </w:rPr>
        <w:t xml:space="preserve">    </w:t>
      </w:r>
      <w:r>
        <w:rPr>
          <w:sz w:val="24"/>
          <w:highlight w:val="none"/>
        </w:rPr>
        <w:t>建（构）筑物消防员证书，能独立进行消防维修保养人员</w:t>
      </w:r>
      <w:r>
        <w:rPr>
          <w:rFonts w:hint="eastAsia"/>
          <w:sz w:val="24"/>
          <w:highlight w:val="none"/>
        </w:rPr>
        <w:t>进行</w:t>
      </w:r>
      <w:r>
        <w:rPr>
          <w:sz w:val="24"/>
          <w:highlight w:val="none"/>
        </w:rPr>
        <w:t>维修保养工作</w:t>
      </w:r>
      <w:r>
        <w:rPr>
          <w:rFonts w:hint="eastAsia"/>
          <w:sz w:val="24"/>
          <w:highlight w:val="none"/>
        </w:rPr>
        <w:t>并</w:t>
      </w:r>
      <w:r>
        <w:rPr>
          <w:sz w:val="24"/>
          <w:highlight w:val="none"/>
        </w:rPr>
        <w:t>全年驻守学校应急备勤，</w:t>
      </w:r>
      <w:r>
        <w:rPr>
          <w:rFonts w:hint="eastAsia"/>
          <w:sz w:val="24"/>
          <w:highlight w:val="none"/>
        </w:rPr>
        <w:t>驻守人员食宿费用由乙方自行解决，</w:t>
      </w:r>
      <w:r>
        <w:rPr>
          <w:sz w:val="24"/>
          <w:highlight w:val="none"/>
        </w:rPr>
        <w:t>驻守人员24小时待命，接受学校及</w:t>
      </w:r>
      <w:r>
        <w:rPr>
          <w:rFonts w:hint="eastAsia"/>
          <w:sz w:val="24"/>
          <w:highlight w:val="none"/>
        </w:rPr>
        <w:t>乙方</w:t>
      </w:r>
      <w:r>
        <w:rPr>
          <w:sz w:val="24"/>
          <w:highlight w:val="none"/>
        </w:rPr>
        <w:t>单位的双重管理</w:t>
      </w:r>
      <w:r>
        <w:rPr>
          <w:rFonts w:hint="eastAsia"/>
          <w:sz w:val="24"/>
          <w:highlight w:val="none"/>
        </w:rPr>
        <w:t>，综合联动测试时，配备不少于</w:t>
      </w:r>
      <w:r>
        <w:rPr>
          <w:rFonts w:hint="eastAsia"/>
          <w:sz w:val="24"/>
          <w:highlight w:val="none"/>
          <w:u w:val="single"/>
          <w:lang w:val="en-US" w:eastAsia="zh-CN"/>
        </w:rPr>
        <w:t xml:space="preserve">    </w:t>
      </w:r>
      <w:r>
        <w:rPr>
          <w:rFonts w:hint="eastAsia"/>
          <w:sz w:val="24"/>
          <w:highlight w:val="none"/>
        </w:rPr>
        <w:t>名技术人员。</w:t>
      </w:r>
    </w:p>
    <w:p>
      <w:pPr>
        <w:spacing w:line="360" w:lineRule="auto"/>
        <w:ind w:left="540"/>
        <w:rPr>
          <w:sz w:val="24"/>
          <w:highlight w:val="none"/>
        </w:rPr>
      </w:pPr>
      <w:r>
        <w:rPr>
          <w:rFonts w:hint="eastAsia"/>
          <w:sz w:val="24"/>
          <w:highlight w:val="none"/>
        </w:rPr>
        <w:t>六、合同工</w:t>
      </w:r>
      <w:r>
        <w:rPr>
          <w:sz w:val="24"/>
          <w:highlight w:val="none"/>
        </w:rPr>
        <w:t>期：</w:t>
      </w:r>
    </w:p>
    <w:p>
      <w:pPr>
        <w:spacing w:line="360" w:lineRule="auto"/>
        <w:rPr>
          <w:sz w:val="24"/>
          <w:highlight w:val="none"/>
        </w:rPr>
      </w:pPr>
      <w:r>
        <w:rPr>
          <w:rFonts w:hint="eastAsia"/>
          <w:sz w:val="24"/>
          <w:highlight w:val="none"/>
        </w:rPr>
        <w:t xml:space="preserve">   </w:t>
      </w:r>
      <w:r>
        <w:rPr>
          <w:rFonts w:hint="eastAsia"/>
          <w:b/>
          <w:bCs/>
          <w:sz w:val="24"/>
          <w:highlight w:val="none"/>
        </w:rPr>
        <w:t xml:space="preserve"> 签订合同后</w:t>
      </w:r>
      <w:r>
        <w:rPr>
          <w:rFonts w:hint="eastAsia"/>
          <w:b/>
          <w:bCs/>
          <w:sz w:val="24"/>
          <w:highlight w:val="none"/>
          <w:lang w:val="en-US" w:eastAsia="zh-CN"/>
        </w:rPr>
        <w:t>叁</w:t>
      </w:r>
      <w:r>
        <w:rPr>
          <w:rFonts w:hint="eastAsia"/>
          <w:b/>
          <w:bCs/>
          <w:sz w:val="24"/>
          <w:highlight w:val="none"/>
        </w:rPr>
        <w:t>年</w:t>
      </w:r>
      <w:r>
        <w:rPr>
          <w:rFonts w:hint="eastAsia"/>
          <w:sz w:val="24"/>
          <w:highlight w:val="none"/>
        </w:rPr>
        <w:t>，自</w:t>
      </w:r>
      <w:r>
        <w:rPr>
          <w:rFonts w:hint="eastAsia"/>
          <w:sz w:val="24"/>
          <w:highlight w:val="none"/>
          <w:u w:val="single"/>
          <w:lang w:val="en-US" w:eastAsia="zh-CN"/>
        </w:rPr>
        <w:t xml:space="preserve">    </w:t>
      </w:r>
      <w:r>
        <w:rPr>
          <w:rFonts w:hint="eastAsia"/>
          <w:sz w:val="24"/>
          <w:highlight w:val="none"/>
        </w:rPr>
        <w:t>年</w:t>
      </w:r>
      <w:r>
        <w:rPr>
          <w:rFonts w:hint="eastAsia"/>
          <w:sz w:val="24"/>
          <w:highlight w:val="none"/>
          <w:u w:val="single"/>
          <w:lang w:val="en-US" w:eastAsia="zh-CN"/>
        </w:rPr>
        <w:t xml:space="preserve">  </w:t>
      </w:r>
      <w:r>
        <w:rPr>
          <w:rFonts w:hint="eastAsia"/>
          <w:sz w:val="24"/>
          <w:highlight w:val="none"/>
        </w:rPr>
        <w:t>月</w:t>
      </w:r>
      <w:r>
        <w:rPr>
          <w:rFonts w:hint="eastAsia"/>
          <w:sz w:val="24"/>
          <w:highlight w:val="none"/>
          <w:u w:val="single"/>
          <w:lang w:val="en-US" w:eastAsia="zh-CN"/>
        </w:rPr>
        <w:t xml:space="preserve">  </w:t>
      </w:r>
      <w:r>
        <w:rPr>
          <w:rFonts w:hint="eastAsia"/>
          <w:sz w:val="24"/>
          <w:highlight w:val="none"/>
        </w:rPr>
        <w:t>日</w:t>
      </w:r>
      <w:r>
        <w:rPr>
          <w:rFonts w:hint="eastAsia"/>
          <w:sz w:val="24"/>
          <w:highlight w:val="none"/>
          <w:lang w:val="en-US" w:eastAsia="zh-CN"/>
        </w:rPr>
        <w:t xml:space="preserve"> </w:t>
      </w:r>
      <w:r>
        <w:rPr>
          <w:rFonts w:hint="eastAsia"/>
          <w:sz w:val="24"/>
          <w:highlight w:val="none"/>
        </w:rPr>
        <w:t>至</w:t>
      </w:r>
      <w:r>
        <w:rPr>
          <w:rFonts w:hint="eastAsia"/>
          <w:sz w:val="24"/>
          <w:highlight w:val="none"/>
          <w:u w:val="single"/>
          <w:lang w:val="en-US" w:eastAsia="zh-CN"/>
        </w:rPr>
        <w:t xml:space="preserve">    </w:t>
      </w:r>
      <w:r>
        <w:rPr>
          <w:rFonts w:hint="eastAsia"/>
          <w:sz w:val="24"/>
          <w:highlight w:val="none"/>
        </w:rPr>
        <w:t>年</w:t>
      </w:r>
      <w:r>
        <w:rPr>
          <w:rFonts w:hint="eastAsia"/>
          <w:sz w:val="24"/>
          <w:highlight w:val="none"/>
          <w:u w:val="single"/>
          <w:lang w:val="en-US" w:eastAsia="zh-CN"/>
        </w:rPr>
        <w:t xml:space="preserve">   </w:t>
      </w:r>
      <w:r>
        <w:rPr>
          <w:rFonts w:hint="eastAsia"/>
          <w:sz w:val="24"/>
          <w:highlight w:val="none"/>
        </w:rPr>
        <w:t>月</w:t>
      </w:r>
      <w:r>
        <w:rPr>
          <w:rFonts w:hint="eastAsia"/>
          <w:sz w:val="24"/>
          <w:highlight w:val="none"/>
          <w:u w:val="single"/>
          <w:lang w:val="en-US" w:eastAsia="zh-CN"/>
        </w:rPr>
        <w:t xml:space="preserve">   </w:t>
      </w:r>
      <w:r>
        <w:rPr>
          <w:rFonts w:hint="eastAsia"/>
          <w:sz w:val="24"/>
          <w:highlight w:val="none"/>
        </w:rPr>
        <w:t>日止。</w:t>
      </w:r>
    </w:p>
    <w:p>
      <w:pPr>
        <w:spacing w:line="360" w:lineRule="auto"/>
        <w:ind w:left="540"/>
        <w:rPr>
          <w:sz w:val="24"/>
          <w:highlight w:val="none"/>
        </w:rPr>
      </w:pPr>
      <w:r>
        <w:rPr>
          <w:rFonts w:hint="eastAsia"/>
          <w:sz w:val="24"/>
          <w:highlight w:val="none"/>
        </w:rPr>
        <w:t>七、维修</w:t>
      </w:r>
      <w:r>
        <w:rPr>
          <w:sz w:val="24"/>
          <w:highlight w:val="none"/>
        </w:rPr>
        <w:t>保养费及付款方式：</w:t>
      </w:r>
    </w:p>
    <w:p>
      <w:pPr>
        <w:spacing w:line="360" w:lineRule="auto"/>
        <w:ind w:firstLine="480" w:firstLineChars="200"/>
        <w:rPr>
          <w:sz w:val="24"/>
          <w:highlight w:val="none"/>
        </w:rPr>
      </w:pPr>
      <w:r>
        <w:rPr>
          <w:rFonts w:hint="eastAsia"/>
          <w:sz w:val="24"/>
          <w:highlight w:val="none"/>
        </w:rPr>
        <w:t>1、年</w:t>
      </w:r>
      <w:r>
        <w:rPr>
          <w:sz w:val="24"/>
          <w:highlight w:val="none"/>
        </w:rPr>
        <w:t>保养费</w:t>
      </w:r>
      <w:r>
        <w:rPr>
          <w:rFonts w:hint="eastAsia"/>
          <w:sz w:val="24"/>
          <w:highlight w:val="none"/>
        </w:rPr>
        <w:t>总价</w:t>
      </w:r>
      <w:r>
        <w:rPr>
          <w:sz w:val="24"/>
          <w:highlight w:val="none"/>
        </w:rPr>
        <w:t>为人民币：</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sz w:val="24"/>
          <w:highlight w:val="none"/>
        </w:rPr>
        <w:t>元，大写：</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sz w:val="24"/>
          <w:highlight w:val="none"/>
        </w:rPr>
        <w:t>元整（含税）。</w:t>
      </w:r>
    </w:p>
    <w:p>
      <w:pPr>
        <w:spacing w:line="360" w:lineRule="auto"/>
        <w:ind w:firstLine="480" w:firstLineChars="200"/>
        <w:rPr>
          <w:sz w:val="24"/>
          <w:highlight w:val="none"/>
        </w:rPr>
      </w:pPr>
      <w:r>
        <w:rPr>
          <w:rFonts w:hint="eastAsia"/>
          <w:sz w:val="24"/>
          <w:highlight w:val="none"/>
        </w:rPr>
        <w:t>2、甲方按季度进行维保款的支付，甲方收到后勤保卫处考核细则评分表及等额有效发票后进行支付，具体期数及金额如下：</w:t>
      </w:r>
    </w:p>
    <w:p>
      <w:pPr>
        <w:spacing w:line="360" w:lineRule="auto"/>
        <w:ind w:firstLine="480" w:firstLineChars="200"/>
        <w:rPr>
          <w:sz w:val="24"/>
          <w:highlight w:val="none"/>
        </w:rPr>
      </w:pPr>
      <w:r>
        <w:rPr>
          <w:rFonts w:hint="eastAsia"/>
          <w:sz w:val="24"/>
          <w:highlight w:val="none"/>
        </w:rPr>
        <w:t xml:space="preserve">   第一期：</w:t>
      </w:r>
      <w:r>
        <w:rPr>
          <w:rFonts w:hint="eastAsia"/>
          <w:sz w:val="24"/>
          <w:highlight w:val="none"/>
          <w:u w:val="single"/>
          <w:lang w:val="en-US" w:eastAsia="zh-CN"/>
        </w:rPr>
        <w:t xml:space="preserve">        </w:t>
      </w:r>
      <w:r>
        <w:rPr>
          <w:rFonts w:hint="eastAsia"/>
          <w:sz w:val="24"/>
          <w:highlight w:val="none"/>
        </w:rPr>
        <w:t>元，大写：</w:t>
      </w:r>
      <w:r>
        <w:rPr>
          <w:rFonts w:hint="eastAsia"/>
          <w:sz w:val="24"/>
          <w:highlight w:val="none"/>
          <w:u w:val="single"/>
          <w:lang w:val="en-US" w:eastAsia="zh-CN"/>
        </w:rPr>
        <w:t xml:space="preserve">                          </w:t>
      </w:r>
      <w:r>
        <w:rPr>
          <w:rFonts w:hint="eastAsia"/>
          <w:sz w:val="24"/>
          <w:highlight w:val="none"/>
        </w:rPr>
        <w:t>；</w:t>
      </w:r>
    </w:p>
    <w:p>
      <w:pPr>
        <w:spacing w:line="360" w:lineRule="auto"/>
        <w:ind w:firstLine="480" w:firstLineChars="200"/>
        <w:rPr>
          <w:sz w:val="24"/>
          <w:highlight w:val="none"/>
        </w:rPr>
      </w:pPr>
      <w:r>
        <w:rPr>
          <w:rFonts w:hint="eastAsia"/>
          <w:sz w:val="24"/>
          <w:highlight w:val="none"/>
        </w:rPr>
        <w:t xml:space="preserve">   第二期：</w:t>
      </w:r>
      <w:r>
        <w:rPr>
          <w:rFonts w:hint="eastAsia"/>
          <w:sz w:val="24"/>
          <w:highlight w:val="none"/>
          <w:u w:val="single"/>
          <w:lang w:val="en-US" w:eastAsia="zh-CN"/>
        </w:rPr>
        <w:t xml:space="preserve">        </w:t>
      </w:r>
      <w:r>
        <w:rPr>
          <w:rFonts w:hint="eastAsia"/>
          <w:sz w:val="24"/>
          <w:highlight w:val="none"/>
        </w:rPr>
        <w:t>元,大写：</w:t>
      </w:r>
      <w:r>
        <w:rPr>
          <w:rFonts w:hint="eastAsia"/>
          <w:sz w:val="24"/>
          <w:highlight w:val="none"/>
          <w:u w:val="single"/>
          <w:lang w:val="en-US" w:eastAsia="zh-CN"/>
        </w:rPr>
        <w:t xml:space="preserve">                            </w:t>
      </w:r>
      <w:r>
        <w:rPr>
          <w:rFonts w:hint="eastAsia"/>
          <w:sz w:val="24"/>
          <w:highlight w:val="none"/>
        </w:rPr>
        <w:t>；</w:t>
      </w:r>
    </w:p>
    <w:p>
      <w:pPr>
        <w:spacing w:line="360" w:lineRule="auto"/>
        <w:ind w:firstLine="480" w:firstLineChars="200"/>
        <w:rPr>
          <w:sz w:val="24"/>
          <w:highlight w:val="none"/>
        </w:rPr>
      </w:pPr>
      <w:r>
        <w:rPr>
          <w:rFonts w:hint="eastAsia"/>
          <w:sz w:val="24"/>
          <w:highlight w:val="none"/>
        </w:rPr>
        <w:t xml:space="preserve">   第三期：</w:t>
      </w:r>
      <w:r>
        <w:rPr>
          <w:rFonts w:hint="eastAsia"/>
          <w:sz w:val="24"/>
          <w:highlight w:val="none"/>
          <w:u w:val="single"/>
          <w:lang w:val="en-US" w:eastAsia="zh-CN"/>
        </w:rPr>
        <w:t xml:space="preserve">        </w:t>
      </w:r>
      <w:r>
        <w:rPr>
          <w:rFonts w:hint="eastAsia"/>
          <w:sz w:val="24"/>
          <w:highlight w:val="none"/>
        </w:rPr>
        <w:t>元,大写：</w:t>
      </w:r>
      <w:r>
        <w:rPr>
          <w:rFonts w:hint="eastAsia"/>
          <w:sz w:val="24"/>
          <w:highlight w:val="none"/>
          <w:u w:val="single"/>
          <w:lang w:val="en-US" w:eastAsia="zh-CN"/>
        </w:rPr>
        <w:t xml:space="preserve">                            </w:t>
      </w:r>
      <w:r>
        <w:rPr>
          <w:rFonts w:hint="eastAsia"/>
          <w:sz w:val="24"/>
          <w:highlight w:val="none"/>
        </w:rPr>
        <w:t>；</w:t>
      </w:r>
    </w:p>
    <w:p>
      <w:pPr>
        <w:spacing w:line="360" w:lineRule="auto"/>
        <w:ind w:firstLine="480" w:firstLineChars="200"/>
        <w:rPr>
          <w:sz w:val="24"/>
          <w:highlight w:val="none"/>
        </w:rPr>
      </w:pPr>
      <w:r>
        <w:rPr>
          <w:rFonts w:hint="eastAsia"/>
          <w:sz w:val="24"/>
          <w:highlight w:val="none"/>
        </w:rPr>
        <w:t xml:space="preserve">   第四期：</w:t>
      </w:r>
      <w:r>
        <w:rPr>
          <w:rFonts w:hint="eastAsia"/>
          <w:sz w:val="24"/>
          <w:highlight w:val="none"/>
          <w:u w:val="single"/>
          <w:lang w:val="en-US" w:eastAsia="zh-CN"/>
        </w:rPr>
        <w:t xml:space="preserve">        </w:t>
      </w:r>
      <w:r>
        <w:rPr>
          <w:rFonts w:hint="eastAsia"/>
          <w:sz w:val="24"/>
          <w:highlight w:val="none"/>
        </w:rPr>
        <w:t>元(含投标保证金</w:t>
      </w:r>
      <w:r>
        <w:rPr>
          <w:rFonts w:hint="eastAsia"/>
          <w:sz w:val="24"/>
          <w:highlight w:val="none"/>
          <w:lang w:val="en-US" w:eastAsia="zh-CN"/>
        </w:rPr>
        <w:t xml:space="preserve"> </w:t>
      </w:r>
      <w:r>
        <w:rPr>
          <w:rFonts w:hint="eastAsia"/>
          <w:sz w:val="24"/>
          <w:highlight w:val="none"/>
        </w:rPr>
        <w:t>),大写：</w:t>
      </w:r>
      <w:r>
        <w:rPr>
          <w:rFonts w:hint="eastAsia"/>
          <w:sz w:val="24"/>
          <w:highlight w:val="none"/>
          <w:u w:val="single"/>
          <w:lang w:val="en-US" w:eastAsia="zh-CN"/>
        </w:rPr>
        <w:t xml:space="preserve">              </w:t>
      </w:r>
      <w:r>
        <w:rPr>
          <w:rFonts w:hint="eastAsia"/>
          <w:sz w:val="24"/>
          <w:highlight w:val="none"/>
        </w:rPr>
        <w:t>。</w:t>
      </w:r>
    </w:p>
    <w:p>
      <w:pPr>
        <w:spacing w:line="360" w:lineRule="auto"/>
        <w:ind w:firstLine="480" w:firstLineChars="200"/>
        <w:rPr>
          <w:sz w:val="24"/>
          <w:highlight w:val="none"/>
        </w:rPr>
      </w:pPr>
      <w:r>
        <w:rPr>
          <w:rFonts w:hint="eastAsia"/>
          <w:sz w:val="24"/>
          <w:highlight w:val="none"/>
        </w:rPr>
        <w:t>3、付款考核细则如下。</w:t>
      </w:r>
    </w:p>
    <w:tbl>
      <w:tblPr>
        <w:tblStyle w:val="8"/>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8"/>
        <w:gridCol w:w="1751"/>
        <w:gridCol w:w="2347"/>
        <w:gridCol w:w="1668"/>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9" w:hRule="atLeast"/>
        </w:trPr>
        <w:tc>
          <w:tcPr>
            <w:tcW w:w="908" w:type="dxa"/>
            <w:tcBorders>
              <w:top w:val="single" w:color="000000" w:sz="4"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序号</w:t>
            </w:r>
          </w:p>
        </w:tc>
        <w:tc>
          <w:tcPr>
            <w:tcW w:w="1751"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项目</w:t>
            </w:r>
          </w:p>
        </w:tc>
        <w:tc>
          <w:tcPr>
            <w:tcW w:w="2347"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要求</w:t>
            </w:r>
          </w:p>
        </w:tc>
        <w:tc>
          <w:tcPr>
            <w:tcW w:w="1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未达要求</w:t>
            </w:r>
          </w:p>
        </w:tc>
        <w:tc>
          <w:tcPr>
            <w:tcW w:w="1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2" w:hRule="atLeast"/>
        </w:trPr>
        <w:tc>
          <w:tcPr>
            <w:tcW w:w="90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7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火灾自动报警系统</w:t>
            </w:r>
          </w:p>
        </w:tc>
        <w:tc>
          <w:tcPr>
            <w:tcW w:w="234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正常工作，发生故障24小时内解决</w:t>
            </w:r>
          </w:p>
        </w:tc>
        <w:tc>
          <w:tcPr>
            <w:tcW w:w="166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故障每过24小时扣除</w:t>
            </w:r>
            <w:r>
              <w:rPr>
                <w:rStyle w:val="10"/>
                <w:sz w:val="22"/>
                <w:szCs w:val="22"/>
                <w:highlight w:val="none"/>
                <w:lang w:val="en-US" w:eastAsia="zh-CN" w:bidi="ar"/>
              </w:rPr>
              <w:t>1-5分</w:t>
            </w:r>
          </w:p>
        </w:tc>
        <w:tc>
          <w:tcPr>
            <w:tcW w:w="166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以用户方检查记录为准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8" w:hRule="atLeast"/>
        </w:trPr>
        <w:tc>
          <w:tcPr>
            <w:tcW w:w="90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7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消火栓系统</w:t>
            </w:r>
          </w:p>
        </w:tc>
        <w:tc>
          <w:tcPr>
            <w:tcW w:w="234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正常工作，发生故障24小时内解决</w:t>
            </w:r>
          </w:p>
        </w:tc>
        <w:tc>
          <w:tcPr>
            <w:tcW w:w="166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故障每过24小时扣除</w:t>
            </w:r>
            <w:r>
              <w:rPr>
                <w:rStyle w:val="10"/>
                <w:sz w:val="22"/>
                <w:szCs w:val="22"/>
                <w:highlight w:val="none"/>
                <w:lang w:val="en-US" w:eastAsia="zh-CN" w:bidi="ar"/>
              </w:rPr>
              <w:t>1-5分</w:t>
            </w:r>
          </w:p>
        </w:tc>
        <w:tc>
          <w:tcPr>
            <w:tcW w:w="166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以用户方检查记录为准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35" w:hRule="atLeast"/>
        </w:trPr>
        <w:tc>
          <w:tcPr>
            <w:tcW w:w="90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7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自动喷淋系统</w:t>
            </w:r>
          </w:p>
        </w:tc>
        <w:tc>
          <w:tcPr>
            <w:tcW w:w="234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正常工作，发生故障24小时内解决</w:t>
            </w:r>
          </w:p>
        </w:tc>
        <w:tc>
          <w:tcPr>
            <w:tcW w:w="166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故障每过24小时扣除</w:t>
            </w:r>
            <w:r>
              <w:rPr>
                <w:rStyle w:val="10"/>
                <w:sz w:val="22"/>
                <w:szCs w:val="22"/>
                <w:highlight w:val="none"/>
                <w:lang w:val="en-US" w:eastAsia="zh-CN" w:bidi="ar"/>
              </w:rPr>
              <w:t>1-5分</w:t>
            </w:r>
          </w:p>
        </w:tc>
        <w:tc>
          <w:tcPr>
            <w:tcW w:w="166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以用户方检查记录为准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2" w:hRule="atLeast"/>
        </w:trPr>
        <w:tc>
          <w:tcPr>
            <w:tcW w:w="90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7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防火卷帘门系统</w:t>
            </w:r>
          </w:p>
        </w:tc>
        <w:tc>
          <w:tcPr>
            <w:tcW w:w="234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正常工作，发生故障24小时内解决</w:t>
            </w:r>
          </w:p>
        </w:tc>
        <w:tc>
          <w:tcPr>
            <w:tcW w:w="166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故障每过24小时扣除</w:t>
            </w:r>
            <w:r>
              <w:rPr>
                <w:rStyle w:val="10"/>
                <w:sz w:val="22"/>
                <w:szCs w:val="22"/>
                <w:highlight w:val="none"/>
                <w:lang w:val="en-US" w:eastAsia="zh-CN" w:bidi="ar"/>
              </w:rPr>
              <w:t>1-5分</w:t>
            </w:r>
          </w:p>
        </w:tc>
        <w:tc>
          <w:tcPr>
            <w:tcW w:w="166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以用户方检查记录为准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2" w:hRule="atLeast"/>
        </w:trPr>
        <w:tc>
          <w:tcPr>
            <w:tcW w:w="90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7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其他消防设施设备</w:t>
            </w:r>
          </w:p>
        </w:tc>
        <w:tc>
          <w:tcPr>
            <w:tcW w:w="234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正常工作，发生故障24小时内解决</w:t>
            </w:r>
          </w:p>
        </w:tc>
        <w:tc>
          <w:tcPr>
            <w:tcW w:w="166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故障每过24小时扣除</w:t>
            </w:r>
            <w:r>
              <w:rPr>
                <w:rStyle w:val="10"/>
                <w:sz w:val="22"/>
                <w:szCs w:val="22"/>
                <w:highlight w:val="none"/>
                <w:lang w:val="en-US" w:eastAsia="zh-CN" w:bidi="ar"/>
              </w:rPr>
              <w:t>1-5分</w:t>
            </w:r>
          </w:p>
        </w:tc>
        <w:tc>
          <w:tcPr>
            <w:tcW w:w="166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以用户方检查记录为准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77" w:hRule="atLeast"/>
        </w:trPr>
        <w:tc>
          <w:tcPr>
            <w:tcW w:w="90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175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驻校维保人员日常行为</w:t>
            </w:r>
          </w:p>
        </w:tc>
        <w:tc>
          <w:tcPr>
            <w:tcW w:w="234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接到任务，</w:t>
            </w:r>
            <w:r>
              <w:rPr>
                <w:rStyle w:val="10"/>
                <w:sz w:val="22"/>
                <w:szCs w:val="22"/>
                <w:highlight w:val="none"/>
                <w:lang w:val="en-US" w:eastAsia="zh-CN" w:bidi="ar"/>
              </w:rPr>
              <w:t>1小时内赶到现场处置。</w:t>
            </w:r>
          </w:p>
        </w:tc>
        <w:tc>
          <w:tcPr>
            <w:tcW w:w="166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弄虚作假，不服从合理管理及未到现场处置问题，每过</w:t>
            </w:r>
            <w:r>
              <w:rPr>
                <w:rStyle w:val="10"/>
                <w:sz w:val="22"/>
                <w:szCs w:val="22"/>
                <w:highlight w:val="none"/>
                <w:lang w:val="en-US" w:eastAsia="zh-CN" w:bidi="ar"/>
              </w:rPr>
              <w:t>1小时扣除0.5-5分。</w:t>
            </w:r>
          </w:p>
        </w:tc>
        <w:tc>
          <w:tcPr>
            <w:tcW w:w="1668"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以用户方检查记录为准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6" w:hRule="atLeast"/>
        </w:trPr>
        <w:tc>
          <w:tcPr>
            <w:tcW w:w="8342" w:type="dxa"/>
            <w:gridSpan w:val="5"/>
            <w:tcBorders>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扣分说明</w:t>
            </w:r>
            <w:r>
              <w:rPr>
                <w:rStyle w:val="11"/>
                <w:sz w:val="22"/>
                <w:szCs w:val="22"/>
                <w:highlight w:val="none"/>
                <w:lang w:val="en-US" w:eastAsia="zh-CN" w:bidi="ar"/>
              </w:rPr>
              <w:t>：以上注明24小时内解决的问题，超过时间将重复扣分，直至解决故障，比如应24小时内解决的问题，超24小时扣1分，超48小时再扣1分。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3" w:hRule="atLeast"/>
        </w:trPr>
        <w:tc>
          <w:tcPr>
            <w:tcW w:w="8342" w:type="dxa"/>
            <w:gridSpan w:val="5"/>
            <w:tcBorders>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付款说明</w:t>
            </w:r>
            <w:r>
              <w:rPr>
                <w:rStyle w:val="11"/>
                <w:sz w:val="22"/>
                <w:szCs w:val="22"/>
                <w:highlight w:val="none"/>
                <w:lang w:val="en-US" w:eastAsia="zh-CN" w:bidi="ar"/>
              </w:rPr>
              <w:t>：每季度总分100分，维护保养占80分，甲方满意度占10分，驻校人员出勤、行为规范、工作态度占10分。付款比例为得分比例（例如，第一个维护保养季度扣分20分，得80分，则支付费用为当季度应付费用的80%）</w:t>
            </w:r>
          </w:p>
        </w:tc>
      </w:tr>
    </w:tbl>
    <w:p>
      <w:pPr>
        <w:tabs>
          <w:tab w:val="left" w:pos="900"/>
          <w:tab w:val="left" w:pos="1080"/>
        </w:tabs>
        <w:spacing w:line="360" w:lineRule="auto"/>
        <w:ind w:firstLine="482" w:firstLineChars="200"/>
        <w:rPr>
          <w:rFonts w:ascii="宋体"/>
          <w:b/>
          <w:bCs/>
          <w:sz w:val="24"/>
          <w:highlight w:val="none"/>
        </w:rPr>
      </w:pPr>
      <w:r>
        <w:rPr>
          <w:rFonts w:hint="eastAsia" w:ascii="宋体" w:hAnsi="宋体"/>
          <w:b/>
          <w:bCs/>
          <w:sz w:val="24"/>
          <w:highlight w:val="none"/>
        </w:rPr>
        <w:t>八、甲方权利和义务</w:t>
      </w:r>
    </w:p>
    <w:p>
      <w:pPr>
        <w:tabs>
          <w:tab w:val="left" w:pos="1695"/>
        </w:tabs>
        <w:spacing w:line="360" w:lineRule="auto"/>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、甲方有权随时检查乙方的服务履行情况，并向乙方提出修改。</w:t>
      </w:r>
    </w:p>
    <w:p>
      <w:pPr>
        <w:spacing w:line="360" w:lineRule="auto"/>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、当发生服务违约时，则甲方有权按“服务违约处理标准”在支付乙方工程款项中进行扣款</w:t>
      </w:r>
      <w:r>
        <w:rPr>
          <w:rFonts w:ascii="宋体" w:hAnsi="宋体"/>
          <w:sz w:val="24"/>
          <w:highlight w:val="none"/>
        </w:rPr>
        <w:t xml:space="preserve"> </w:t>
      </w:r>
      <w:r>
        <w:rPr>
          <w:rFonts w:hint="eastAsia" w:ascii="宋体" w:hAnsi="宋体"/>
          <w:sz w:val="24"/>
          <w:highlight w:val="none"/>
        </w:rPr>
        <w:t xml:space="preserve">。                                                                                                                                                                                                                                </w:t>
      </w:r>
    </w:p>
    <w:p>
      <w:pPr>
        <w:tabs>
          <w:tab w:val="left" w:pos="1080"/>
          <w:tab w:val="left" w:pos="1695"/>
        </w:tabs>
        <w:spacing w:line="360" w:lineRule="auto"/>
        <w:ind w:firstLine="480" w:firstLineChars="200"/>
        <w:rPr>
          <w:rFonts w:ascii="宋体"/>
          <w:sz w:val="24"/>
          <w:highlight w:val="none"/>
        </w:rPr>
      </w:pPr>
      <w:r>
        <w:rPr>
          <w:rFonts w:ascii="宋体" w:hAnsi="宋体"/>
          <w:sz w:val="24"/>
          <w:highlight w:val="none"/>
        </w:rPr>
        <w:t>3</w:t>
      </w:r>
      <w:r>
        <w:rPr>
          <w:rFonts w:hint="eastAsia" w:ascii="宋体" w:hAnsi="宋体"/>
          <w:sz w:val="24"/>
          <w:highlight w:val="none"/>
        </w:rPr>
        <w:t>、在乙方提供服务时，如对甲方的设备造成了损坏，甲方有权要求乙方赔偿。</w:t>
      </w:r>
    </w:p>
    <w:p>
      <w:pPr>
        <w:tabs>
          <w:tab w:val="left" w:pos="1080"/>
          <w:tab w:val="left" w:pos="1695"/>
        </w:tabs>
        <w:spacing w:line="360" w:lineRule="auto"/>
        <w:ind w:firstLine="480" w:firstLineChars="200"/>
        <w:rPr>
          <w:rFonts w:ascii="宋体"/>
          <w:sz w:val="24"/>
          <w:highlight w:val="none"/>
        </w:rPr>
      </w:pPr>
      <w:r>
        <w:rPr>
          <w:rFonts w:ascii="宋体" w:hAnsi="宋体"/>
          <w:sz w:val="24"/>
          <w:highlight w:val="none"/>
        </w:rPr>
        <w:t>4</w:t>
      </w:r>
      <w:r>
        <w:rPr>
          <w:rFonts w:hint="eastAsia" w:ascii="宋体" w:hAnsi="宋体"/>
          <w:sz w:val="24"/>
          <w:highlight w:val="none"/>
        </w:rPr>
        <w:t>、甲方应按合同规定向乙方支付服务费用。</w:t>
      </w:r>
    </w:p>
    <w:p>
      <w:pPr>
        <w:tabs>
          <w:tab w:val="left" w:pos="900"/>
          <w:tab w:val="left" w:pos="1080"/>
        </w:tabs>
        <w:spacing w:line="360" w:lineRule="auto"/>
        <w:ind w:firstLine="482" w:firstLineChars="200"/>
        <w:rPr>
          <w:rFonts w:ascii="宋体"/>
          <w:b/>
          <w:bCs/>
          <w:sz w:val="24"/>
          <w:highlight w:val="none"/>
        </w:rPr>
      </w:pPr>
      <w:r>
        <w:rPr>
          <w:rFonts w:hint="eastAsia" w:ascii="宋体" w:hAnsi="宋体"/>
          <w:b/>
          <w:bCs/>
          <w:sz w:val="24"/>
          <w:highlight w:val="none"/>
        </w:rPr>
        <w:t>九、乙方权利和义务</w:t>
      </w:r>
    </w:p>
    <w:p>
      <w:pPr>
        <w:spacing w:line="360" w:lineRule="auto"/>
        <w:ind w:firstLine="480" w:firstLineChars="200"/>
        <w:rPr>
          <w:rFonts w:ascii="宋体" w:hAnsi="宋体"/>
          <w:sz w:val="24"/>
          <w:highlight w:val="none"/>
        </w:rPr>
      </w:pPr>
      <w:r>
        <w:rPr>
          <w:rFonts w:hint="eastAsia" w:ascii="宋体" w:hAnsi="宋体"/>
          <w:sz w:val="24"/>
          <w:highlight w:val="none"/>
        </w:rPr>
        <w:t>1、乙方必须对维修过的设备、子设备以及部件提拱不少于半年的免费保修服务；对更换的新设备或部件提供不少于二年保修期（行业另有规定的，以产品行业标准为准）。</w:t>
      </w:r>
    </w:p>
    <w:p>
      <w:pPr>
        <w:spacing w:line="360" w:lineRule="auto"/>
        <w:ind w:firstLine="480" w:firstLineChars="200"/>
        <w:rPr>
          <w:rFonts w:ascii="宋体" w:hAnsi="宋体"/>
          <w:sz w:val="24"/>
          <w:highlight w:val="none"/>
        </w:rPr>
      </w:pPr>
      <w:r>
        <w:rPr>
          <w:rFonts w:hint="eastAsia" w:ascii="宋体" w:hAnsi="宋体"/>
          <w:sz w:val="24"/>
          <w:highlight w:val="none"/>
        </w:rPr>
        <w:t>2、乙方每月5日前须向甲方提交上月维护保养报告，28日前提交下月保养计划。保养报告必须至少包括维护保养情况、系统设备运行状况与问题、以及已更换的设备部件的数量及各种费用清单；保养计划有针对性，有明确的时间安排表。</w:t>
      </w:r>
    </w:p>
    <w:p>
      <w:pPr>
        <w:spacing w:line="360" w:lineRule="auto"/>
        <w:ind w:firstLine="480" w:firstLineChars="200"/>
        <w:rPr>
          <w:rFonts w:ascii="宋体" w:hAnsi="宋体"/>
          <w:sz w:val="24"/>
          <w:highlight w:val="none"/>
        </w:rPr>
      </w:pPr>
      <w:r>
        <w:rPr>
          <w:rFonts w:hint="eastAsia" w:ascii="宋体" w:hAnsi="宋体"/>
          <w:sz w:val="24"/>
          <w:highlight w:val="none"/>
        </w:rPr>
        <w:t>3、乙方免费向甲方相关操作人员提供技术培训服务，指导甲方操作人员正确使用、管理系统设备。</w:t>
      </w:r>
    </w:p>
    <w:p>
      <w:pPr>
        <w:spacing w:line="360" w:lineRule="auto"/>
        <w:ind w:firstLine="480" w:firstLineChars="200"/>
        <w:rPr>
          <w:rFonts w:ascii="宋体" w:hAnsi="宋体"/>
          <w:sz w:val="24"/>
          <w:highlight w:val="none"/>
        </w:rPr>
      </w:pPr>
      <w:r>
        <w:rPr>
          <w:rFonts w:hint="eastAsia" w:ascii="宋体" w:hAnsi="宋体"/>
          <w:sz w:val="24"/>
          <w:highlight w:val="none"/>
        </w:rPr>
        <w:t>4、乙方必须严格按照相关要求对系统进行维护保养，保证符合消防规范和消防法规的相关要求。</w:t>
      </w:r>
    </w:p>
    <w:p>
      <w:pPr>
        <w:spacing w:line="360" w:lineRule="auto"/>
        <w:ind w:firstLine="480" w:firstLineChars="200"/>
        <w:rPr>
          <w:rFonts w:ascii="宋体" w:hAnsi="宋体"/>
          <w:sz w:val="24"/>
          <w:highlight w:val="none"/>
        </w:rPr>
      </w:pPr>
      <w:r>
        <w:rPr>
          <w:rFonts w:hint="eastAsia" w:ascii="宋体" w:hAnsi="宋体"/>
          <w:sz w:val="24"/>
          <w:highlight w:val="none"/>
        </w:rPr>
        <w:t>5、配合甲方组织的消防演习工作。</w:t>
      </w:r>
    </w:p>
    <w:p>
      <w:pPr>
        <w:spacing w:line="360" w:lineRule="auto"/>
        <w:ind w:firstLine="480" w:firstLineChars="200"/>
        <w:rPr>
          <w:sz w:val="24"/>
          <w:highlight w:val="none"/>
        </w:rPr>
      </w:pPr>
      <w:r>
        <w:rPr>
          <w:rFonts w:hint="eastAsia" w:ascii="宋体" w:hAnsi="宋体"/>
          <w:sz w:val="24"/>
          <w:highlight w:val="none"/>
        </w:rPr>
        <w:t>6、乙方在开展各项工作时，须遵守甲方所订的相关规章制度，保持良好的工作环境和秩序，爱护甲方财产，乙方须承担所有因乙方工作人员违规所导致的经济法律责任，</w:t>
      </w:r>
      <w:r>
        <w:rPr>
          <w:rFonts w:ascii="Arial" w:hAnsi="Tahoma" w:cs="Tahoma"/>
          <w:sz w:val="24"/>
          <w:highlight w:val="none"/>
        </w:rPr>
        <w:t>进入</w:t>
      </w:r>
      <w:r>
        <w:rPr>
          <w:rFonts w:hint="eastAsia" w:ascii="Arial" w:hAnsi="Tahoma" w:cs="Tahoma"/>
          <w:sz w:val="24"/>
          <w:highlight w:val="none"/>
        </w:rPr>
        <w:t>城市学院</w:t>
      </w:r>
      <w:r>
        <w:rPr>
          <w:rFonts w:ascii="Arial" w:hAnsi="Tahoma" w:cs="Tahoma"/>
          <w:sz w:val="24"/>
          <w:highlight w:val="none"/>
        </w:rPr>
        <w:t>必须</w:t>
      </w:r>
      <w:r>
        <w:rPr>
          <w:rFonts w:hint="eastAsia" w:ascii="Arial" w:hAnsi="Tahoma" w:cs="Tahoma"/>
          <w:sz w:val="24"/>
          <w:highlight w:val="none"/>
        </w:rPr>
        <w:t>统一着装</w:t>
      </w:r>
      <w:r>
        <w:rPr>
          <w:rFonts w:ascii="Arial" w:hAnsi="Tahoma" w:cs="Tahoma"/>
          <w:sz w:val="24"/>
          <w:highlight w:val="none"/>
        </w:rPr>
        <w:t>（工衣</w:t>
      </w:r>
      <w:r>
        <w:rPr>
          <w:rFonts w:hint="eastAsia" w:ascii="Arial" w:hAnsi="Tahoma" w:cs="Tahoma"/>
          <w:sz w:val="24"/>
          <w:highlight w:val="none"/>
        </w:rPr>
        <w:t>、工牌</w:t>
      </w:r>
      <w:r>
        <w:rPr>
          <w:rFonts w:ascii="Arial" w:hAnsi="Tahoma" w:cs="Tahoma"/>
          <w:sz w:val="24"/>
          <w:highlight w:val="none"/>
        </w:rPr>
        <w:t>等）</w:t>
      </w:r>
      <w:r>
        <w:rPr>
          <w:rFonts w:hint="eastAsia" w:ascii="Arial" w:hAnsi="Tahoma" w:cs="Tahoma"/>
          <w:sz w:val="24"/>
          <w:highlight w:val="none"/>
        </w:rPr>
        <w:t>，</w:t>
      </w:r>
      <w:r>
        <w:rPr>
          <w:rFonts w:ascii="Arial" w:hAnsi="Tahoma" w:cs="Tahoma"/>
          <w:sz w:val="24"/>
          <w:highlight w:val="none"/>
        </w:rPr>
        <w:t>未按要求佩带者将拒</w:t>
      </w:r>
      <w:r>
        <w:rPr>
          <w:rFonts w:hint="eastAsia" w:ascii="Arial" w:hAnsi="Tahoma" w:cs="Tahoma"/>
          <w:sz w:val="24"/>
          <w:highlight w:val="none"/>
        </w:rPr>
        <w:t>绝</w:t>
      </w:r>
      <w:r>
        <w:rPr>
          <w:rFonts w:ascii="Arial" w:hAnsi="Tahoma" w:cs="Tahoma"/>
          <w:sz w:val="24"/>
          <w:highlight w:val="none"/>
        </w:rPr>
        <w:t>入场施工</w:t>
      </w:r>
      <w:r>
        <w:rPr>
          <w:rFonts w:hint="eastAsia" w:ascii="宋体" w:hAnsi="宋体"/>
          <w:sz w:val="24"/>
          <w:highlight w:val="none"/>
        </w:rPr>
        <w:t>。</w:t>
      </w:r>
    </w:p>
    <w:p>
      <w:pPr>
        <w:tabs>
          <w:tab w:val="left" w:pos="1080"/>
          <w:tab w:val="left" w:pos="1695"/>
        </w:tabs>
        <w:spacing w:line="360" w:lineRule="auto"/>
        <w:ind w:firstLine="480" w:firstLineChars="200"/>
        <w:rPr>
          <w:rFonts w:ascii="宋体"/>
          <w:sz w:val="24"/>
          <w:highlight w:val="none"/>
        </w:rPr>
      </w:pPr>
      <w:r>
        <w:rPr>
          <w:rFonts w:hint="eastAsia" w:ascii="宋体" w:hAnsi="宋体"/>
          <w:sz w:val="24"/>
          <w:highlight w:val="none"/>
        </w:rPr>
        <w:t>7、乙方应按招标文件的要求和投标文件的承诺进行服务，发生任何服务的变更均须向甲方提出交书面报审报告。</w:t>
      </w:r>
    </w:p>
    <w:p>
      <w:pPr>
        <w:tabs>
          <w:tab w:val="left" w:pos="1080"/>
          <w:tab w:val="left" w:pos="1695"/>
        </w:tabs>
        <w:spacing w:line="360" w:lineRule="auto"/>
        <w:ind w:firstLine="480" w:firstLineChars="200"/>
        <w:rPr>
          <w:rFonts w:ascii="宋体" w:hAnsi="宋体"/>
          <w:sz w:val="24"/>
          <w:highlight w:val="none"/>
        </w:rPr>
      </w:pPr>
      <w:r>
        <w:rPr>
          <w:rFonts w:hint="eastAsia" w:ascii="宋体" w:hAnsi="宋体"/>
          <w:sz w:val="24"/>
          <w:highlight w:val="none"/>
        </w:rPr>
        <w:t>8、乙方有权要求甲方按时支付服务费用。如甲方不按时支付乙方有权要求甲方支付滞纳金。</w:t>
      </w:r>
    </w:p>
    <w:p>
      <w:pPr>
        <w:pStyle w:val="2"/>
        <w:tabs>
          <w:tab w:val="left" w:pos="1140"/>
        </w:tabs>
        <w:spacing w:line="360" w:lineRule="auto"/>
        <w:ind w:left="0" w:firstLine="480" w:firstLineChars="200"/>
        <w:rPr>
          <w:sz w:val="24"/>
          <w:szCs w:val="24"/>
          <w:highlight w:val="none"/>
        </w:rPr>
      </w:pPr>
      <w:r>
        <w:rPr>
          <w:rFonts w:hint="eastAsia"/>
          <w:sz w:val="24"/>
          <w:highlight w:val="none"/>
        </w:rPr>
        <w:t>十、</w:t>
      </w:r>
      <w:r>
        <w:rPr>
          <w:sz w:val="24"/>
          <w:highlight w:val="none"/>
        </w:rPr>
        <w:t>本合同正本</w:t>
      </w:r>
      <w:r>
        <w:rPr>
          <w:sz w:val="24"/>
          <w:highlight w:val="none"/>
          <w:u w:val="single"/>
        </w:rPr>
        <w:t xml:space="preserve">  </w:t>
      </w:r>
      <w:r>
        <w:rPr>
          <w:rFonts w:hint="eastAsia"/>
          <w:sz w:val="24"/>
          <w:highlight w:val="none"/>
          <w:u w:val="single"/>
        </w:rPr>
        <w:t>五</w:t>
      </w:r>
      <w:r>
        <w:rPr>
          <w:sz w:val="24"/>
          <w:highlight w:val="none"/>
          <w:u w:val="single"/>
        </w:rPr>
        <w:t xml:space="preserve">  </w:t>
      </w:r>
      <w:r>
        <w:rPr>
          <w:sz w:val="24"/>
          <w:highlight w:val="none"/>
        </w:rPr>
        <w:t>份，甲</w:t>
      </w:r>
      <w:r>
        <w:rPr>
          <w:rFonts w:hint="eastAsia"/>
          <w:sz w:val="24"/>
          <w:highlight w:val="none"/>
        </w:rPr>
        <w:t>方执</w:t>
      </w:r>
      <w:r>
        <w:rPr>
          <w:rFonts w:hint="eastAsia"/>
          <w:sz w:val="24"/>
          <w:highlight w:val="none"/>
          <w:u w:val="single"/>
        </w:rPr>
        <w:t>四</w:t>
      </w:r>
      <w:r>
        <w:rPr>
          <w:rFonts w:hint="eastAsia"/>
          <w:sz w:val="24"/>
          <w:highlight w:val="none"/>
        </w:rPr>
        <w:t>份</w:t>
      </w:r>
      <w:r>
        <w:rPr>
          <w:sz w:val="24"/>
          <w:highlight w:val="none"/>
        </w:rPr>
        <w:t>、乙</w:t>
      </w:r>
      <w:r>
        <w:rPr>
          <w:rFonts w:hint="eastAsia"/>
          <w:sz w:val="24"/>
          <w:highlight w:val="none"/>
        </w:rPr>
        <w:t>方</w:t>
      </w:r>
      <w:r>
        <w:rPr>
          <w:sz w:val="24"/>
          <w:highlight w:val="none"/>
        </w:rPr>
        <w:t>执</w:t>
      </w:r>
      <w:r>
        <w:rPr>
          <w:rFonts w:hint="eastAsia"/>
          <w:sz w:val="24"/>
          <w:highlight w:val="none"/>
          <w:u w:val="single"/>
        </w:rPr>
        <w:t>一</w:t>
      </w:r>
      <w:r>
        <w:rPr>
          <w:sz w:val="24"/>
          <w:highlight w:val="none"/>
        </w:rPr>
        <w:t>份。</w:t>
      </w:r>
    </w:p>
    <w:p>
      <w:pPr>
        <w:pStyle w:val="2"/>
        <w:tabs>
          <w:tab w:val="left" w:pos="1140"/>
        </w:tabs>
        <w:spacing w:line="360" w:lineRule="auto"/>
        <w:ind w:left="0" w:firstLine="480" w:firstLineChars="200"/>
        <w:rPr>
          <w:sz w:val="24"/>
          <w:szCs w:val="24"/>
          <w:highlight w:val="none"/>
        </w:rPr>
      </w:pPr>
      <w:r>
        <w:rPr>
          <w:rFonts w:hint="eastAsia"/>
          <w:sz w:val="24"/>
          <w:highlight w:val="none"/>
        </w:rPr>
        <w:t>十一、争议的解决</w:t>
      </w:r>
    </w:p>
    <w:p>
      <w:pPr>
        <w:tabs>
          <w:tab w:val="left" w:pos="567"/>
        </w:tabs>
        <w:spacing w:line="360" w:lineRule="auto"/>
        <w:ind w:firstLine="480" w:firstLineChars="200"/>
        <w:rPr>
          <w:sz w:val="24"/>
          <w:highlight w:val="none"/>
        </w:rPr>
      </w:pPr>
      <w:r>
        <w:rPr>
          <w:rFonts w:hint="eastAsia"/>
          <w:sz w:val="24"/>
          <w:highlight w:val="none"/>
        </w:rPr>
        <w:t>1、</w:t>
      </w:r>
      <w:r>
        <w:rPr>
          <w:sz w:val="24"/>
          <w:highlight w:val="none"/>
        </w:rPr>
        <w:t>凡与本合同有关而引起的一切争议，甲乙双方应首先通过友好协商解决，如经协商后仍不能达成协议时，任何一方可以向法院提出诉讼。</w:t>
      </w:r>
    </w:p>
    <w:p>
      <w:pPr>
        <w:tabs>
          <w:tab w:val="left" w:pos="567"/>
        </w:tabs>
        <w:spacing w:line="360" w:lineRule="auto"/>
        <w:ind w:firstLine="480" w:firstLineChars="200"/>
        <w:rPr>
          <w:sz w:val="24"/>
          <w:highlight w:val="none"/>
        </w:rPr>
      </w:pPr>
      <w:r>
        <w:rPr>
          <w:rFonts w:hint="eastAsia"/>
          <w:sz w:val="24"/>
          <w:highlight w:val="none"/>
        </w:rPr>
        <w:t>2、</w:t>
      </w:r>
      <w:r>
        <w:rPr>
          <w:sz w:val="24"/>
          <w:highlight w:val="none"/>
        </w:rPr>
        <w:t>本合同发生的诉讼管辖地为东莞市有管辖权的法院。</w:t>
      </w:r>
    </w:p>
    <w:p>
      <w:pPr>
        <w:tabs>
          <w:tab w:val="left" w:pos="567"/>
        </w:tabs>
        <w:spacing w:line="360" w:lineRule="auto"/>
        <w:ind w:firstLine="480" w:firstLineChars="200"/>
        <w:rPr>
          <w:sz w:val="24"/>
          <w:highlight w:val="none"/>
        </w:rPr>
      </w:pPr>
      <w:r>
        <w:rPr>
          <w:rFonts w:hint="eastAsia"/>
          <w:sz w:val="24"/>
          <w:highlight w:val="none"/>
        </w:rPr>
        <w:t>3、</w:t>
      </w:r>
      <w:r>
        <w:rPr>
          <w:sz w:val="24"/>
          <w:highlight w:val="none"/>
        </w:rPr>
        <w:t>在进行法院审理期间，除提交法院审理的事项外，合同其他部分仍继续履行。</w:t>
      </w:r>
    </w:p>
    <w:p>
      <w:pPr>
        <w:tabs>
          <w:tab w:val="left" w:pos="567"/>
        </w:tabs>
        <w:spacing w:line="360" w:lineRule="auto"/>
        <w:ind w:firstLine="480" w:firstLineChars="200"/>
        <w:rPr>
          <w:sz w:val="24"/>
          <w:highlight w:val="none"/>
        </w:rPr>
      </w:pPr>
      <w:r>
        <w:rPr>
          <w:rFonts w:hint="eastAsia"/>
          <w:sz w:val="24"/>
          <w:highlight w:val="none"/>
        </w:rPr>
        <w:t>4、</w:t>
      </w:r>
      <w:r>
        <w:rPr>
          <w:sz w:val="24"/>
          <w:highlight w:val="none"/>
        </w:rPr>
        <w:t>本合同按照中华人民共和国的法律进行解释。</w:t>
      </w:r>
    </w:p>
    <w:p>
      <w:pPr>
        <w:pStyle w:val="2"/>
        <w:tabs>
          <w:tab w:val="left" w:pos="1140"/>
        </w:tabs>
        <w:spacing w:line="360" w:lineRule="auto"/>
        <w:ind w:left="0" w:firstLine="480" w:firstLineChars="200"/>
        <w:rPr>
          <w:sz w:val="24"/>
          <w:szCs w:val="24"/>
          <w:highlight w:val="none"/>
        </w:rPr>
      </w:pPr>
      <w:r>
        <w:rPr>
          <w:rFonts w:hint="eastAsia"/>
          <w:sz w:val="24"/>
          <w:szCs w:val="24"/>
          <w:highlight w:val="none"/>
        </w:rPr>
        <w:t>十二、其它</w:t>
      </w:r>
    </w:p>
    <w:p>
      <w:pPr>
        <w:pStyle w:val="2"/>
        <w:tabs>
          <w:tab w:val="left" w:pos="1140"/>
          <w:tab w:val="left" w:pos="1260"/>
        </w:tabs>
        <w:spacing w:line="360" w:lineRule="auto"/>
        <w:ind w:left="0" w:firstLine="480" w:firstLineChars="200"/>
        <w:rPr>
          <w:rFonts w:hint="eastAsia"/>
          <w:sz w:val="24"/>
          <w:szCs w:val="24"/>
          <w:highlight w:val="none"/>
        </w:rPr>
      </w:pPr>
      <w:r>
        <w:rPr>
          <w:rFonts w:hint="eastAsia"/>
          <w:sz w:val="24"/>
          <w:szCs w:val="24"/>
          <w:highlight w:val="none"/>
        </w:rPr>
        <w:t>本项目招标文件，乙方的投标文件及各种书面承诺均作为本合同的附件，具有同等的法律效应。</w:t>
      </w:r>
    </w:p>
    <w:p>
      <w:pPr>
        <w:pStyle w:val="2"/>
        <w:tabs>
          <w:tab w:val="left" w:pos="1140"/>
          <w:tab w:val="left" w:pos="1260"/>
        </w:tabs>
        <w:spacing w:line="360" w:lineRule="auto"/>
        <w:ind w:left="0" w:firstLine="480" w:firstLineChars="200"/>
        <w:rPr>
          <w:rFonts w:hint="eastAsia"/>
          <w:sz w:val="24"/>
          <w:szCs w:val="24"/>
          <w:highlight w:val="none"/>
        </w:rPr>
      </w:pPr>
    </w:p>
    <w:p>
      <w:pPr>
        <w:pStyle w:val="2"/>
        <w:tabs>
          <w:tab w:val="left" w:pos="1140"/>
          <w:tab w:val="left" w:pos="1260"/>
        </w:tabs>
        <w:spacing w:line="360" w:lineRule="auto"/>
        <w:ind w:left="0" w:firstLine="480" w:firstLineChars="200"/>
        <w:rPr>
          <w:rFonts w:hint="eastAsia"/>
          <w:sz w:val="24"/>
          <w:szCs w:val="24"/>
          <w:highlight w:val="none"/>
        </w:rPr>
      </w:pPr>
    </w:p>
    <w:p>
      <w:pPr>
        <w:rPr>
          <w:highlight w:val="none"/>
        </w:rPr>
      </w:pPr>
    </w:p>
    <w:p>
      <w:pPr>
        <w:spacing w:line="460" w:lineRule="exact"/>
        <w:ind w:left="5670" w:hanging="5670" w:hangingChars="2700"/>
        <w:rPr>
          <w:rFonts w:ascii="宋体" w:hAnsi="宋体"/>
          <w:szCs w:val="21"/>
          <w:highlight w:val="none"/>
          <w:u w:val="single"/>
        </w:rPr>
      </w:pPr>
      <w:r>
        <w:rPr>
          <w:rFonts w:ascii="宋体" w:hAnsi="宋体"/>
          <w:szCs w:val="21"/>
          <w:highlight w:val="none"/>
        </w:rPr>
        <w:t>甲方（盖公章）</w:t>
      </w:r>
      <w:r>
        <w:rPr>
          <w:rFonts w:hint="eastAsia" w:ascii="宋体" w:hAnsi="宋体"/>
          <w:szCs w:val="21"/>
          <w:highlight w:val="none"/>
        </w:rPr>
        <w:t>：</w:t>
      </w:r>
      <w:r>
        <w:rPr>
          <w:rFonts w:hint="eastAsia" w:asciiTheme="minorEastAsia" w:hAnsiTheme="minorEastAsia" w:eastAsiaTheme="minorEastAsia"/>
          <w:szCs w:val="21"/>
          <w:highlight w:val="none"/>
          <w:u w:val="single"/>
        </w:rPr>
        <w:t>东莞理工学院城市学院</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乙方（盖公章）：</w:t>
      </w:r>
      <w:r>
        <w:rPr>
          <w:rFonts w:hint="eastAsia" w:asciiTheme="minorEastAsia" w:hAnsiTheme="minorEastAsia" w:eastAsiaTheme="minorEastAsia"/>
          <w:szCs w:val="21"/>
          <w:highlight w:val="none"/>
          <w:u w:val="single"/>
          <w:lang w:val="en-US" w:eastAsia="zh-CN"/>
        </w:rPr>
        <w:t xml:space="preserve">                  </w:t>
      </w:r>
    </w:p>
    <w:p>
      <w:pPr>
        <w:spacing w:line="460" w:lineRule="exact"/>
        <w:ind w:right="-1052" w:rightChars="-501"/>
        <w:rPr>
          <w:rFonts w:ascii="宋体" w:hAnsi="宋体"/>
          <w:szCs w:val="21"/>
          <w:highlight w:val="none"/>
          <w:u w:val="single"/>
        </w:rPr>
      </w:pPr>
      <w:r>
        <w:rPr>
          <w:rFonts w:ascii="宋体" w:hAnsi="宋体"/>
          <w:szCs w:val="21"/>
          <w:highlight w:val="none"/>
        </w:rPr>
        <w:t>地址：</w:t>
      </w:r>
      <w:r>
        <w:rPr>
          <w:rFonts w:hint="eastAsia" w:ascii="宋体" w:hAnsi="宋体"/>
          <w:szCs w:val="21"/>
          <w:highlight w:val="none"/>
          <w:u w:val="single"/>
        </w:rPr>
        <w:t xml:space="preserve"> </w:t>
      </w:r>
      <w:r>
        <w:rPr>
          <w:rFonts w:hint="eastAsia" w:asciiTheme="minorEastAsia" w:hAnsiTheme="minorEastAsia" w:eastAsiaTheme="minorEastAsia"/>
          <w:szCs w:val="21"/>
          <w:highlight w:val="none"/>
          <w:u w:val="single"/>
          <w:lang w:val="en-US" w:eastAsia="zh-CN"/>
        </w:rPr>
        <w:t xml:space="preserve">                       </w:t>
      </w:r>
      <w:r>
        <w:rPr>
          <w:rFonts w:asciiTheme="minorEastAsia" w:hAnsiTheme="minorEastAsia" w:eastAsiaTheme="minorEastAsia"/>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地址：</w:t>
      </w:r>
      <w:r>
        <w:rPr>
          <w:rFonts w:hint="eastAsia" w:ascii="宋体" w:hAnsi="宋体"/>
          <w:szCs w:val="21"/>
          <w:highlight w:val="none"/>
          <w:u w:val="single"/>
        </w:rPr>
        <w:t>__________________________</w:t>
      </w:r>
    </w:p>
    <w:p>
      <w:pPr>
        <w:tabs>
          <w:tab w:val="left" w:pos="3420"/>
          <w:tab w:val="left" w:pos="3600"/>
        </w:tabs>
        <w:spacing w:line="460" w:lineRule="exact"/>
        <w:rPr>
          <w:rFonts w:ascii="宋体" w:hAnsi="宋体"/>
          <w:szCs w:val="21"/>
          <w:highlight w:val="none"/>
          <w:u w:val="single"/>
        </w:rPr>
      </w:pPr>
      <w:r>
        <w:rPr>
          <w:rFonts w:ascii="宋体" w:hAnsi="宋体"/>
          <w:szCs w:val="21"/>
          <w:highlight w:val="none"/>
        </w:rPr>
        <w:t>法定代表</w:t>
      </w:r>
      <w:r>
        <w:rPr>
          <w:rFonts w:hint="eastAsia" w:ascii="宋体" w:hAnsi="宋体"/>
          <w:szCs w:val="21"/>
          <w:highlight w:val="none"/>
        </w:rPr>
        <w:t>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法定代表</w:t>
      </w:r>
      <w:r>
        <w:rPr>
          <w:rFonts w:hint="eastAsia" w:ascii="宋体" w:hAnsi="宋体"/>
          <w:szCs w:val="21"/>
          <w:highlight w:val="none"/>
        </w:rPr>
        <w:t>人：</w:t>
      </w:r>
      <w:r>
        <w:rPr>
          <w:rFonts w:ascii="宋体" w:hAnsi="宋体"/>
          <w:szCs w:val="21"/>
          <w:highlight w:val="none"/>
          <w:u w:val="single"/>
        </w:rPr>
        <w:tab/>
      </w:r>
      <w:r>
        <w:rPr>
          <w:rFonts w:hint="eastAsia" w:ascii="宋体" w:hAnsi="宋体"/>
          <w:szCs w:val="21"/>
          <w:highlight w:val="none"/>
          <w:u w:val="single"/>
        </w:rPr>
        <w:t xml:space="preserve">              </w:t>
      </w:r>
    </w:p>
    <w:p>
      <w:pPr>
        <w:tabs>
          <w:tab w:val="left" w:pos="3420"/>
          <w:tab w:val="left" w:pos="3600"/>
        </w:tabs>
        <w:spacing w:line="460" w:lineRule="exact"/>
        <w:rPr>
          <w:rFonts w:ascii="宋体" w:hAnsi="宋体"/>
          <w:szCs w:val="21"/>
          <w:highlight w:val="none"/>
        </w:rPr>
      </w:pPr>
      <w:r>
        <w:rPr>
          <w:rFonts w:hint="eastAsia" w:ascii="宋体" w:hAnsi="宋体"/>
          <w:szCs w:val="21"/>
          <w:highlight w:val="none"/>
        </w:rPr>
        <w:t>委托代理人：</w:t>
      </w:r>
      <w:r>
        <w:rPr>
          <w:rFonts w:hint="eastAsia" w:ascii="宋体" w:hAnsi="宋体"/>
          <w:szCs w:val="21"/>
          <w:highlight w:val="none"/>
          <w:u w:val="single"/>
        </w:rPr>
        <w:t xml:space="preserve">                 </w:t>
      </w:r>
      <w:r>
        <w:rPr>
          <w:rFonts w:hint="eastAsia" w:ascii="宋体" w:hAnsi="宋体"/>
          <w:szCs w:val="21"/>
          <w:highlight w:val="none"/>
        </w:rPr>
        <w:t xml:space="preserve">          委托代理人：</w:t>
      </w:r>
      <w:r>
        <w:rPr>
          <w:rFonts w:hint="eastAsia" w:ascii="宋体" w:hAnsi="宋体"/>
          <w:szCs w:val="21"/>
          <w:highlight w:val="none"/>
          <w:u w:val="single"/>
        </w:rPr>
        <w:t xml:space="preserve">                 </w:t>
      </w:r>
    </w:p>
    <w:p>
      <w:pPr>
        <w:tabs>
          <w:tab w:val="left" w:pos="3420"/>
          <w:tab w:val="left" w:pos="3600"/>
        </w:tabs>
        <w:spacing w:line="460" w:lineRule="exact"/>
        <w:rPr>
          <w:rFonts w:ascii="宋体" w:hAnsi="宋体"/>
          <w:szCs w:val="21"/>
          <w:highlight w:val="none"/>
          <w:u w:val="single"/>
        </w:rPr>
      </w:pPr>
      <w:r>
        <w:rPr>
          <w:rFonts w:ascii="宋体" w:hAnsi="宋体"/>
          <w:szCs w:val="21"/>
          <w:highlight w:val="none"/>
        </w:rPr>
        <w:t>电话：</w:t>
      </w:r>
      <w:r>
        <w:rPr>
          <w:rFonts w:hint="eastAsia"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电话：</w:t>
      </w:r>
      <w:r>
        <w:rPr>
          <w:rFonts w:hint="eastAsia" w:ascii="宋体" w:hAnsi="宋体"/>
          <w:szCs w:val="21"/>
          <w:highlight w:val="none"/>
          <w:u w:val="single"/>
        </w:rPr>
        <w:t>______________________</w:t>
      </w:r>
    </w:p>
    <w:p>
      <w:pPr>
        <w:spacing w:line="460" w:lineRule="exact"/>
        <w:rPr>
          <w:rFonts w:ascii="宋体" w:hAnsi="宋体"/>
          <w:szCs w:val="21"/>
          <w:highlight w:val="none"/>
          <w:u w:val="single"/>
        </w:rPr>
      </w:pPr>
      <w:r>
        <w:rPr>
          <w:rFonts w:ascii="宋体" w:hAnsi="宋体"/>
          <w:szCs w:val="21"/>
          <w:highlight w:val="none"/>
        </w:rPr>
        <w:t>开户银行：</w:t>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开户银行：</w:t>
      </w:r>
      <w:r>
        <w:rPr>
          <w:rFonts w:hint="eastAsia" w:ascii="宋体" w:hAnsi="宋体"/>
          <w:szCs w:val="21"/>
          <w:highlight w:val="none"/>
        </w:rPr>
        <w:t>____________________</w:t>
      </w:r>
    </w:p>
    <w:p>
      <w:pPr>
        <w:spacing w:line="460" w:lineRule="exact"/>
        <w:rPr>
          <w:rFonts w:ascii="宋体" w:hAnsi="宋体"/>
          <w:szCs w:val="21"/>
          <w:highlight w:val="none"/>
        </w:rPr>
      </w:pPr>
      <w:r>
        <w:rPr>
          <w:rFonts w:ascii="宋体" w:hAnsi="宋体"/>
          <w:szCs w:val="21"/>
          <w:highlight w:val="none"/>
        </w:rPr>
        <w:t>账号：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账号：</w:t>
      </w:r>
      <w:r>
        <w:rPr>
          <w:rFonts w:hint="eastAsia" w:ascii="宋体" w:hAnsi="宋体"/>
          <w:szCs w:val="21"/>
          <w:highlight w:val="none"/>
          <w:u w:val="single"/>
        </w:rPr>
        <w:t>________________________</w:t>
      </w:r>
    </w:p>
    <w:p>
      <w:pPr>
        <w:spacing w:line="460" w:lineRule="exact"/>
        <w:rPr>
          <w:rFonts w:ascii="宋体" w:hAnsi="宋体"/>
          <w:szCs w:val="21"/>
          <w:highlight w:val="none"/>
        </w:rPr>
      </w:pPr>
      <w:r>
        <w:rPr>
          <w:rFonts w:hint="eastAsia" w:ascii="宋体" w:hAnsi="宋体"/>
          <w:szCs w:val="21"/>
          <w:highlight w:val="none"/>
        </w:rPr>
        <w:t>日期</w:t>
      </w:r>
      <w:r>
        <w:rPr>
          <w:rFonts w:ascii="宋体" w:hAnsi="宋体"/>
          <w:szCs w:val="21"/>
          <w:highlight w:val="none"/>
        </w:rPr>
        <w:t>：</w:t>
      </w:r>
      <w:r>
        <w:rPr>
          <w:rFonts w:hint="eastAsia" w:ascii="宋体" w:hAnsi="宋体"/>
          <w:szCs w:val="21"/>
          <w:highlight w:val="none"/>
        </w:rPr>
        <w:t xml:space="preserve"> </w:t>
      </w:r>
      <w:r>
        <w:rPr>
          <w:rFonts w:hint="eastAsia" w:asciiTheme="minorEastAsia" w:hAnsiTheme="minorEastAsia" w:eastAsiaTheme="minorEastAsia"/>
          <w:szCs w:val="21"/>
          <w:highlight w:val="none"/>
        </w:rPr>
        <w:t xml:space="preserve">    年    月     日  </w:t>
      </w:r>
      <w:r>
        <w:rPr>
          <w:rFonts w:hint="eastAsia" w:ascii="宋体" w:hAnsi="宋体"/>
          <w:szCs w:val="21"/>
          <w:highlight w:val="none"/>
        </w:rPr>
        <w:t xml:space="preserve">           日期：     年   月   日</w:t>
      </w:r>
    </w:p>
    <w:sectPr>
      <w:headerReference r:id="rId3" w:type="default"/>
      <w:footerReference r:id="rId4" w:type="default"/>
      <w:footerReference r:id="rId5" w:type="even"/>
      <w:pgSz w:w="11906" w:h="16838"/>
      <w:pgMar w:top="1644" w:right="1797" w:bottom="164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2B69"/>
    <w:rsid w:val="00006640"/>
    <w:rsid w:val="000149E6"/>
    <w:rsid w:val="000179F9"/>
    <w:rsid w:val="00042DAC"/>
    <w:rsid w:val="00056E20"/>
    <w:rsid w:val="00066269"/>
    <w:rsid w:val="000979BF"/>
    <w:rsid w:val="000A58D7"/>
    <w:rsid w:val="000B1006"/>
    <w:rsid w:val="000E072A"/>
    <w:rsid w:val="000F5A95"/>
    <w:rsid w:val="000F750F"/>
    <w:rsid w:val="0012319B"/>
    <w:rsid w:val="00124AFE"/>
    <w:rsid w:val="0014049B"/>
    <w:rsid w:val="00146F3D"/>
    <w:rsid w:val="00147F6E"/>
    <w:rsid w:val="001512ED"/>
    <w:rsid w:val="00153E61"/>
    <w:rsid w:val="001572B7"/>
    <w:rsid w:val="001A337F"/>
    <w:rsid w:val="001B38C9"/>
    <w:rsid w:val="001D06BA"/>
    <w:rsid w:val="001D7142"/>
    <w:rsid w:val="001E1599"/>
    <w:rsid w:val="001E3C70"/>
    <w:rsid w:val="001E7126"/>
    <w:rsid w:val="002118FA"/>
    <w:rsid w:val="0022331B"/>
    <w:rsid w:val="00232AD5"/>
    <w:rsid w:val="0024274F"/>
    <w:rsid w:val="00260B82"/>
    <w:rsid w:val="00280442"/>
    <w:rsid w:val="00291DB6"/>
    <w:rsid w:val="002C6122"/>
    <w:rsid w:val="002D0833"/>
    <w:rsid w:val="002F0074"/>
    <w:rsid w:val="002F1FC6"/>
    <w:rsid w:val="003064B5"/>
    <w:rsid w:val="00322F3F"/>
    <w:rsid w:val="00364436"/>
    <w:rsid w:val="003669B0"/>
    <w:rsid w:val="00383848"/>
    <w:rsid w:val="003A2E2A"/>
    <w:rsid w:val="003A529E"/>
    <w:rsid w:val="003B0798"/>
    <w:rsid w:val="003C2D39"/>
    <w:rsid w:val="003E1DB5"/>
    <w:rsid w:val="003E78F2"/>
    <w:rsid w:val="00400D2C"/>
    <w:rsid w:val="0040119F"/>
    <w:rsid w:val="0040607F"/>
    <w:rsid w:val="004164E2"/>
    <w:rsid w:val="0043368C"/>
    <w:rsid w:val="00441E4D"/>
    <w:rsid w:val="00442F00"/>
    <w:rsid w:val="00472D8D"/>
    <w:rsid w:val="00491B06"/>
    <w:rsid w:val="00496CAC"/>
    <w:rsid w:val="004B60C2"/>
    <w:rsid w:val="004E0D6E"/>
    <w:rsid w:val="004E708E"/>
    <w:rsid w:val="005575B6"/>
    <w:rsid w:val="00582BF6"/>
    <w:rsid w:val="00583D84"/>
    <w:rsid w:val="005D4EC7"/>
    <w:rsid w:val="005D6B86"/>
    <w:rsid w:val="005E5785"/>
    <w:rsid w:val="005F5E8D"/>
    <w:rsid w:val="006062AB"/>
    <w:rsid w:val="0061273F"/>
    <w:rsid w:val="00617C7F"/>
    <w:rsid w:val="0062028D"/>
    <w:rsid w:val="00621C41"/>
    <w:rsid w:val="00653DF3"/>
    <w:rsid w:val="00664BDB"/>
    <w:rsid w:val="0069483A"/>
    <w:rsid w:val="006D2526"/>
    <w:rsid w:val="006F48F4"/>
    <w:rsid w:val="007001EB"/>
    <w:rsid w:val="0071663A"/>
    <w:rsid w:val="0072282A"/>
    <w:rsid w:val="00723E53"/>
    <w:rsid w:val="007748FC"/>
    <w:rsid w:val="00783992"/>
    <w:rsid w:val="007B19AC"/>
    <w:rsid w:val="007C024A"/>
    <w:rsid w:val="007E233B"/>
    <w:rsid w:val="007E7EC5"/>
    <w:rsid w:val="007F00DF"/>
    <w:rsid w:val="00806E56"/>
    <w:rsid w:val="0083101C"/>
    <w:rsid w:val="00857BE0"/>
    <w:rsid w:val="008655FD"/>
    <w:rsid w:val="0088193D"/>
    <w:rsid w:val="008C12C0"/>
    <w:rsid w:val="008E1F68"/>
    <w:rsid w:val="008F2E8C"/>
    <w:rsid w:val="008F61AA"/>
    <w:rsid w:val="0091592B"/>
    <w:rsid w:val="009365EA"/>
    <w:rsid w:val="00955323"/>
    <w:rsid w:val="00957CBF"/>
    <w:rsid w:val="00965B67"/>
    <w:rsid w:val="00977D99"/>
    <w:rsid w:val="0098252E"/>
    <w:rsid w:val="00990213"/>
    <w:rsid w:val="00992340"/>
    <w:rsid w:val="009A7CAE"/>
    <w:rsid w:val="00A15F7E"/>
    <w:rsid w:val="00A27843"/>
    <w:rsid w:val="00A338C1"/>
    <w:rsid w:val="00A51E26"/>
    <w:rsid w:val="00A55FE3"/>
    <w:rsid w:val="00A80A63"/>
    <w:rsid w:val="00A82CED"/>
    <w:rsid w:val="00A92963"/>
    <w:rsid w:val="00AA1EC3"/>
    <w:rsid w:val="00AD1F18"/>
    <w:rsid w:val="00AD20AA"/>
    <w:rsid w:val="00AD748C"/>
    <w:rsid w:val="00B13565"/>
    <w:rsid w:val="00B5426E"/>
    <w:rsid w:val="00B54D37"/>
    <w:rsid w:val="00B67750"/>
    <w:rsid w:val="00B74E13"/>
    <w:rsid w:val="00B82A1A"/>
    <w:rsid w:val="00BB20B9"/>
    <w:rsid w:val="00BB2B69"/>
    <w:rsid w:val="00BD27FA"/>
    <w:rsid w:val="00C06A89"/>
    <w:rsid w:val="00C375D6"/>
    <w:rsid w:val="00CA1B1E"/>
    <w:rsid w:val="00CA290D"/>
    <w:rsid w:val="00CA4544"/>
    <w:rsid w:val="00CD5911"/>
    <w:rsid w:val="00CE5F84"/>
    <w:rsid w:val="00CF0A3B"/>
    <w:rsid w:val="00CF153F"/>
    <w:rsid w:val="00CF439F"/>
    <w:rsid w:val="00D0283D"/>
    <w:rsid w:val="00D043F3"/>
    <w:rsid w:val="00D44B24"/>
    <w:rsid w:val="00DA7100"/>
    <w:rsid w:val="00DB5F29"/>
    <w:rsid w:val="00DF709A"/>
    <w:rsid w:val="00E025CF"/>
    <w:rsid w:val="00E13DAB"/>
    <w:rsid w:val="00E13E84"/>
    <w:rsid w:val="00E44E62"/>
    <w:rsid w:val="00ED71F8"/>
    <w:rsid w:val="00EF1805"/>
    <w:rsid w:val="00F23B88"/>
    <w:rsid w:val="00F26A49"/>
    <w:rsid w:val="00F33B66"/>
    <w:rsid w:val="00F57D29"/>
    <w:rsid w:val="00F97E88"/>
    <w:rsid w:val="00FA64E1"/>
    <w:rsid w:val="00FB5D5C"/>
    <w:rsid w:val="00FE27D0"/>
    <w:rsid w:val="00FF0044"/>
    <w:rsid w:val="345418B8"/>
    <w:rsid w:val="79335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ind w:left="540"/>
    </w:pPr>
    <w:rPr>
      <w:szCs w:val="2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正文文本缩进 Char"/>
    <w:link w:val="2"/>
    <w:qFormat/>
    <w:uiPriority w:val="0"/>
    <w:rPr>
      <w:rFonts w:eastAsia="宋体"/>
      <w:kern w:val="2"/>
      <w:sz w:val="21"/>
      <w:lang w:val="en-US" w:eastAsia="zh-CN" w:bidi="ar-SA"/>
    </w:rPr>
  </w:style>
  <w:style w:type="character" w:customStyle="1" w:styleId="10">
    <w:name w:val="font01"/>
    <w:basedOn w:val="6"/>
    <w:uiPriority w:val="0"/>
    <w:rPr>
      <w:rFonts w:hint="eastAsia" w:ascii="宋体" w:hAnsi="宋体" w:eastAsia="宋体" w:cs="宋体"/>
      <w:color w:val="000000"/>
      <w:sz w:val="24"/>
      <w:szCs w:val="24"/>
      <w:u w:val="none"/>
    </w:rPr>
  </w:style>
  <w:style w:type="character" w:customStyle="1" w:styleId="11">
    <w:name w:val="font1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624</Words>
  <Characters>3562</Characters>
  <Lines>29</Lines>
  <Paragraphs>8</Paragraphs>
  <ScaleCrop>false</ScaleCrop>
  <LinksUpToDate>false</LinksUpToDate>
  <CharactersWithSpaces>4178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2015-12-24T02:29:00Z</dcterms:created>
  <dc:creator>微软用户</dc:creator>
  <cp:lastModifiedBy>言身寸  彦</cp:lastModifiedBy>
  <cp:lastPrinted>2018-03-19T08:30:10Z</cp:lastPrinted>
  <dcterms:modified xsi:type="dcterms:W3CDTF">2018-03-19T08:40:49Z</dcterms:modified>
  <dc:title>东莞理工学院消防设备更新及维护项目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